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A3A5" w14:textId="77777777" w:rsidR="008860F6" w:rsidRDefault="008860F6" w:rsidP="008860F6">
      <w:pPr>
        <w:pStyle w:val="EndNoteBibliography"/>
        <w:rPr>
          <w:sz w:val="32"/>
          <w:szCs w:val="32"/>
        </w:rPr>
      </w:pPr>
      <w:r>
        <w:rPr>
          <w:sz w:val="32"/>
          <w:szCs w:val="32"/>
        </w:rPr>
        <w:t xml:space="preserve">S1 </w:t>
      </w:r>
      <w:r w:rsidRPr="00AD341B">
        <w:rPr>
          <w:sz w:val="32"/>
          <w:szCs w:val="32"/>
        </w:rPr>
        <w:t>Appendix:</w:t>
      </w:r>
    </w:p>
    <w:p w14:paraId="3F8BE0F6" w14:textId="528A0474" w:rsidR="008860F6" w:rsidRPr="00AD341B" w:rsidRDefault="008860F6" w:rsidP="008860F6">
      <w:pPr>
        <w:spacing w:after="160"/>
        <w:rPr>
          <w:rFonts w:asciiTheme="majorBidi" w:hAnsiTheme="majorBidi" w:cstheme="majorBidi"/>
          <w:bCs/>
          <w:sz w:val="18"/>
          <w:szCs w:val="18"/>
        </w:rPr>
      </w:pPr>
      <w:r w:rsidRPr="00AD341B">
        <w:rPr>
          <w:rFonts w:asciiTheme="majorBidi" w:hAnsiTheme="majorBidi" w:cstheme="majorBidi"/>
          <w:bCs/>
          <w:sz w:val="18"/>
          <w:szCs w:val="18"/>
        </w:rPr>
        <w:t>Data Description Table</w:t>
      </w:r>
    </w:p>
    <w:tbl>
      <w:tblPr>
        <w:tblStyle w:val="ListTable1Light"/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992"/>
        <w:gridCol w:w="1134"/>
        <w:gridCol w:w="850"/>
        <w:gridCol w:w="851"/>
        <w:gridCol w:w="3405"/>
      </w:tblGrid>
      <w:tr w:rsidR="00F0100F" w:rsidRPr="00AD341B" w14:paraId="03660347" w14:textId="77777777" w:rsidTr="00301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442060B" w14:textId="77777777" w:rsidR="002C103A" w:rsidRPr="00AD341B" w:rsidRDefault="002C103A" w:rsidP="00A46FE3">
            <w:pPr>
              <w:spacing w:after="160"/>
              <w:jc w:val="center"/>
              <w:rPr>
                <w:rFonts w:asciiTheme="majorBidi" w:hAnsiTheme="majorBidi" w:cstheme="majorBidi"/>
                <w:b/>
                <w:bCs w:val="0"/>
                <w:sz w:val="22"/>
              </w:rPr>
            </w:pPr>
            <w:bookmarkStart w:id="0" w:name="_Hlk178542929"/>
            <w:r w:rsidRPr="00AD341B">
              <w:rPr>
                <w:rFonts w:asciiTheme="majorBidi" w:hAnsiTheme="majorBidi" w:cstheme="majorBidi"/>
                <w:b/>
                <w:bCs w:val="0"/>
                <w:sz w:val="22"/>
              </w:rPr>
              <w:t>Variable</w:t>
            </w:r>
          </w:p>
        </w:tc>
        <w:tc>
          <w:tcPr>
            <w:tcW w:w="1560" w:type="dxa"/>
            <w:hideMark/>
          </w:tcPr>
          <w:p w14:paraId="23EEDB8B" w14:textId="77777777" w:rsidR="002C103A" w:rsidRPr="00AD341B" w:rsidRDefault="002C103A" w:rsidP="00A46F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 w:val="0"/>
                <w:sz w:val="22"/>
              </w:rPr>
            </w:pPr>
            <w:r w:rsidRPr="00AD341B">
              <w:rPr>
                <w:rFonts w:asciiTheme="majorBidi" w:hAnsiTheme="majorBidi" w:cstheme="majorBidi"/>
                <w:b/>
                <w:bCs w:val="0"/>
                <w:sz w:val="22"/>
              </w:rPr>
              <w:t>Description</w:t>
            </w:r>
          </w:p>
        </w:tc>
        <w:tc>
          <w:tcPr>
            <w:tcW w:w="992" w:type="dxa"/>
            <w:hideMark/>
          </w:tcPr>
          <w:p w14:paraId="1D692D9A" w14:textId="77777777" w:rsidR="002C103A" w:rsidRPr="00AD341B" w:rsidRDefault="002C103A" w:rsidP="00A46F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 w:val="0"/>
                <w:sz w:val="22"/>
              </w:rPr>
            </w:pPr>
            <w:r w:rsidRPr="00AD341B">
              <w:rPr>
                <w:rFonts w:asciiTheme="majorBidi" w:hAnsiTheme="majorBidi" w:cstheme="majorBidi"/>
                <w:b/>
                <w:bCs w:val="0"/>
                <w:sz w:val="22"/>
              </w:rPr>
              <w:t>Source</w:t>
            </w:r>
          </w:p>
        </w:tc>
        <w:tc>
          <w:tcPr>
            <w:tcW w:w="1134" w:type="dxa"/>
            <w:hideMark/>
          </w:tcPr>
          <w:p w14:paraId="67073912" w14:textId="77777777" w:rsidR="002C103A" w:rsidRPr="00AD341B" w:rsidRDefault="002C103A" w:rsidP="00A46F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 w:val="0"/>
                <w:sz w:val="22"/>
              </w:rPr>
            </w:pPr>
            <w:r w:rsidRPr="00AD341B">
              <w:rPr>
                <w:rFonts w:asciiTheme="majorBidi" w:hAnsiTheme="majorBidi" w:cstheme="majorBidi"/>
                <w:b/>
                <w:bCs w:val="0"/>
                <w:sz w:val="22"/>
              </w:rPr>
              <w:t>Period</w:t>
            </w:r>
          </w:p>
        </w:tc>
        <w:tc>
          <w:tcPr>
            <w:tcW w:w="850" w:type="dxa"/>
            <w:hideMark/>
          </w:tcPr>
          <w:p w14:paraId="1B25565C" w14:textId="77777777" w:rsidR="002C103A" w:rsidRPr="00AD341B" w:rsidRDefault="002C103A" w:rsidP="00A46F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 w:val="0"/>
                <w:sz w:val="22"/>
              </w:rPr>
            </w:pPr>
            <w:r w:rsidRPr="00AD341B">
              <w:rPr>
                <w:rFonts w:asciiTheme="majorBidi" w:hAnsiTheme="majorBidi" w:cstheme="majorBidi"/>
                <w:b/>
                <w:bCs w:val="0"/>
                <w:sz w:val="22"/>
              </w:rPr>
              <w:t>Frequency</w:t>
            </w:r>
          </w:p>
        </w:tc>
        <w:tc>
          <w:tcPr>
            <w:tcW w:w="851" w:type="dxa"/>
            <w:hideMark/>
          </w:tcPr>
          <w:p w14:paraId="026ED3B4" w14:textId="77777777" w:rsidR="002C103A" w:rsidRPr="00AD341B" w:rsidRDefault="002C103A" w:rsidP="00301217">
            <w:pPr>
              <w:spacing w:after="160"/>
              <w:ind w:right="-38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 w:val="0"/>
                <w:sz w:val="22"/>
              </w:rPr>
            </w:pPr>
            <w:r w:rsidRPr="00AD341B">
              <w:rPr>
                <w:rFonts w:asciiTheme="majorBidi" w:hAnsiTheme="majorBidi" w:cstheme="majorBidi"/>
                <w:b/>
                <w:bCs w:val="0"/>
                <w:sz w:val="22"/>
              </w:rPr>
              <w:t>Currency</w:t>
            </w:r>
          </w:p>
        </w:tc>
        <w:tc>
          <w:tcPr>
            <w:tcW w:w="3405" w:type="dxa"/>
          </w:tcPr>
          <w:p w14:paraId="0FA64992" w14:textId="4DE79933" w:rsidR="002C103A" w:rsidRPr="006720A3" w:rsidRDefault="002C103A" w:rsidP="00A46F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 w:val="0"/>
                <w:sz w:val="22"/>
              </w:rPr>
            </w:pPr>
            <w:r w:rsidRPr="006720A3">
              <w:rPr>
                <w:rFonts w:asciiTheme="majorBidi" w:hAnsiTheme="majorBidi" w:cstheme="majorBidi"/>
                <w:b/>
                <w:bCs w:val="0"/>
                <w:sz w:val="22"/>
              </w:rPr>
              <w:t>Dataset link</w:t>
            </w:r>
          </w:p>
        </w:tc>
      </w:tr>
      <w:tr w:rsidR="00566010" w:rsidRPr="00AD341B" w14:paraId="6912EC55" w14:textId="77777777" w:rsidTr="00301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B985C48" w14:textId="77777777" w:rsidR="002C103A" w:rsidRPr="00AD341B" w:rsidRDefault="002C103A" w:rsidP="00A46FE3">
            <w:pPr>
              <w:spacing w:after="16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Bitcoin Price</w:t>
            </w:r>
          </w:p>
        </w:tc>
        <w:tc>
          <w:tcPr>
            <w:tcW w:w="1560" w:type="dxa"/>
            <w:hideMark/>
          </w:tcPr>
          <w:p w14:paraId="1F193DC7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 closing price of Bitcoin in USD.</w:t>
            </w:r>
          </w:p>
        </w:tc>
        <w:tc>
          <w:tcPr>
            <w:tcW w:w="992" w:type="dxa"/>
            <w:hideMark/>
          </w:tcPr>
          <w:p w14:paraId="67700F00" w14:textId="77777777" w:rsidR="002C103A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Investing Database</w:t>
            </w:r>
          </w:p>
          <w:p w14:paraId="2663CC71" w14:textId="1406DF9F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34" w:type="dxa"/>
            <w:hideMark/>
          </w:tcPr>
          <w:p w14:paraId="5DA6DA06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Jan 2017 - Jan 2023</w:t>
            </w:r>
          </w:p>
        </w:tc>
        <w:tc>
          <w:tcPr>
            <w:tcW w:w="850" w:type="dxa"/>
            <w:hideMark/>
          </w:tcPr>
          <w:p w14:paraId="65070340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</w:t>
            </w:r>
          </w:p>
        </w:tc>
        <w:tc>
          <w:tcPr>
            <w:tcW w:w="851" w:type="dxa"/>
            <w:hideMark/>
          </w:tcPr>
          <w:p w14:paraId="59149DBE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USD</w:t>
            </w:r>
          </w:p>
        </w:tc>
        <w:tc>
          <w:tcPr>
            <w:tcW w:w="3405" w:type="dxa"/>
          </w:tcPr>
          <w:p w14:paraId="1C4DB7F0" w14:textId="1AB67A7C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fr-CA"/>
              </w:rPr>
            </w:pPr>
            <w:hyperlink r:id="rId6" w:history="1">
              <w:r w:rsidRPr="00883188">
                <w:rPr>
                  <w:rStyle w:val="Hyperlink"/>
                  <w:rFonts w:asciiTheme="majorBidi" w:hAnsiTheme="majorBidi" w:cstheme="majorBidi"/>
                  <w:sz w:val="18"/>
                  <w:szCs w:val="18"/>
                  <w:lang w:val="fr-CA"/>
                </w:rPr>
                <w:t>https://www.investing.com/crypto/bitcoin/historical-data</w:t>
              </w:r>
            </w:hyperlink>
            <w:r>
              <w:rPr>
                <w:rFonts w:asciiTheme="majorBidi" w:hAnsiTheme="majorBidi" w:cstheme="majorBidi"/>
                <w:sz w:val="18"/>
                <w:szCs w:val="18"/>
                <w:lang w:val="fr-CA"/>
              </w:rPr>
              <w:t xml:space="preserve"> </w:t>
            </w:r>
          </w:p>
        </w:tc>
      </w:tr>
      <w:tr w:rsidR="00F0100F" w:rsidRPr="00AD341B" w14:paraId="697ACC31" w14:textId="77777777" w:rsidTr="00301217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60166A7" w14:textId="77777777" w:rsidR="002C103A" w:rsidRPr="00AD341B" w:rsidRDefault="002C103A" w:rsidP="00A46FE3">
            <w:pPr>
              <w:spacing w:after="16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Gold Price</w:t>
            </w:r>
          </w:p>
        </w:tc>
        <w:tc>
          <w:tcPr>
            <w:tcW w:w="1560" w:type="dxa"/>
            <w:hideMark/>
          </w:tcPr>
          <w:p w14:paraId="4ECBCC1D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 closing price of gold per ounce in USD.</w:t>
            </w:r>
          </w:p>
        </w:tc>
        <w:tc>
          <w:tcPr>
            <w:tcW w:w="992" w:type="dxa"/>
            <w:hideMark/>
          </w:tcPr>
          <w:p w14:paraId="7B625E41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Investing Database</w:t>
            </w:r>
          </w:p>
        </w:tc>
        <w:tc>
          <w:tcPr>
            <w:tcW w:w="1134" w:type="dxa"/>
            <w:hideMark/>
          </w:tcPr>
          <w:p w14:paraId="07C6EF22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Jan 2017 - Jan 2023</w:t>
            </w:r>
          </w:p>
        </w:tc>
        <w:tc>
          <w:tcPr>
            <w:tcW w:w="850" w:type="dxa"/>
            <w:hideMark/>
          </w:tcPr>
          <w:p w14:paraId="75D0A737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</w:t>
            </w:r>
          </w:p>
        </w:tc>
        <w:tc>
          <w:tcPr>
            <w:tcW w:w="851" w:type="dxa"/>
            <w:hideMark/>
          </w:tcPr>
          <w:p w14:paraId="60ABEE34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USD</w:t>
            </w:r>
          </w:p>
        </w:tc>
        <w:tc>
          <w:tcPr>
            <w:tcW w:w="3405" w:type="dxa"/>
          </w:tcPr>
          <w:p w14:paraId="5B5D0C52" w14:textId="795A01E4" w:rsidR="002C103A" w:rsidRPr="00AD341B" w:rsidRDefault="00BC651C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hyperlink r:id="rId7" w:history="1">
              <w:r w:rsidRPr="00883188">
                <w:rPr>
                  <w:rStyle w:val="Hyperlink"/>
                  <w:rFonts w:asciiTheme="majorBidi" w:hAnsiTheme="majorBidi" w:cstheme="majorBidi"/>
                  <w:sz w:val="18"/>
                  <w:szCs w:val="18"/>
                </w:rPr>
                <w:t>https://www.investing.com/commodities/gold-historical-data</w:t>
              </w:r>
            </w:hyperlink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566010" w:rsidRPr="00AD341B" w14:paraId="488D708D" w14:textId="77777777" w:rsidTr="00301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6F852E3" w14:textId="77777777" w:rsidR="002C103A" w:rsidRPr="00AD341B" w:rsidRDefault="002C103A" w:rsidP="00A46FE3">
            <w:pPr>
              <w:spacing w:after="16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Crude Oil Price (WTI)</w:t>
            </w:r>
          </w:p>
        </w:tc>
        <w:tc>
          <w:tcPr>
            <w:tcW w:w="1560" w:type="dxa"/>
            <w:hideMark/>
          </w:tcPr>
          <w:p w14:paraId="1F909533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 closing price of West Texas Intermediate (WTI) in USD per barrel.</w:t>
            </w:r>
          </w:p>
        </w:tc>
        <w:tc>
          <w:tcPr>
            <w:tcW w:w="992" w:type="dxa"/>
            <w:hideMark/>
          </w:tcPr>
          <w:p w14:paraId="08B88AFD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Investing Database</w:t>
            </w:r>
          </w:p>
        </w:tc>
        <w:tc>
          <w:tcPr>
            <w:tcW w:w="1134" w:type="dxa"/>
            <w:hideMark/>
          </w:tcPr>
          <w:p w14:paraId="2AB8CE00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Jan 2017 - Jan 2023</w:t>
            </w:r>
          </w:p>
        </w:tc>
        <w:tc>
          <w:tcPr>
            <w:tcW w:w="850" w:type="dxa"/>
            <w:hideMark/>
          </w:tcPr>
          <w:p w14:paraId="0EC3916C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</w:t>
            </w:r>
          </w:p>
        </w:tc>
        <w:tc>
          <w:tcPr>
            <w:tcW w:w="851" w:type="dxa"/>
            <w:hideMark/>
          </w:tcPr>
          <w:p w14:paraId="7FAE9148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USD</w:t>
            </w:r>
          </w:p>
        </w:tc>
        <w:tc>
          <w:tcPr>
            <w:tcW w:w="3405" w:type="dxa"/>
          </w:tcPr>
          <w:p w14:paraId="10911318" w14:textId="18BE835A" w:rsidR="002C103A" w:rsidRPr="00BC651C" w:rsidRDefault="003E5C87" w:rsidP="003E5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hyperlink r:id="rId8" w:history="1">
              <w:r w:rsidRPr="00883188">
                <w:rPr>
                  <w:rStyle w:val="Hyperlink"/>
                  <w:rFonts w:asciiTheme="majorBidi" w:hAnsiTheme="majorBidi" w:cstheme="majorBidi"/>
                  <w:sz w:val="18"/>
                  <w:szCs w:val="18"/>
                </w:rPr>
                <w:t>https://www.investing.com/commodities/crude-oil-historical-data</w:t>
              </w:r>
            </w:hyperlink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F0100F" w:rsidRPr="00AD341B" w14:paraId="7A504BD5" w14:textId="77777777" w:rsidTr="00301217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523AE48" w14:textId="77777777" w:rsidR="002C103A" w:rsidRPr="00AD341B" w:rsidRDefault="002C103A" w:rsidP="00A46FE3">
            <w:pPr>
              <w:spacing w:after="16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Natural Gas Price</w:t>
            </w:r>
          </w:p>
        </w:tc>
        <w:tc>
          <w:tcPr>
            <w:tcW w:w="1560" w:type="dxa"/>
            <w:hideMark/>
          </w:tcPr>
          <w:p w14:paraId="74E1F0EC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 closing price of natural gas in USD per MMBtu.</w:t>
            </w:r>
          </w:p>
        </w:tc>
        <w:tc>
          <w:tcPr>
            <w:tcW w:w="992" w:type="dxa"/>
            <w:hideMark/>
          </w:tcPr>
          <w:p w14:paraId="1AE475D0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Investing Database</w:t>
            </w:r>
          </w:p>
        </w:tc>
        <w:tc>
          <w:tcPr>
            <w:tcW w:w="1134" w:type="dxa"/>
            <w:hideMark/>
          </w:tcPr>
          <w:p w14:paraId="49886B94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Jan 2017 - Jan 2023</w:t>
            </w:r>
          </w:p>
        </w:tc>
        <w:tc>
          <w:tcPr>
            <w:tcW w:w="850" w:type="dxa"/>
            <w:hideMark/>
          </w:tcPr>
          <w:p w14:paraId="1193DD64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</w:t>
            </w:r>
          </w:p>
        </w:tc>
        <w:tc>
          <w:tcPr>
            <w:tcW w:w="851" w:type="dxa"/>
            <w:hideMark/>
          </w:tcPr>
          <w:p w14:paraId="70A109E3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USD</w:t>
            </w:r>
          </w:p>
        </w:tc>
        <w:tc>
          <w:tcPr>
            <w:tcW w:w="3405" w:type="dxa"/>
          </w:tcPr>
          <w:p w14:paraId="26C384FE" w14:textId="5E1ECA60" w:rsidR="002C103A" w:rsidRPr="00AD341B" w:rsidRDefault="003E5C87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fr-CA"/>
              </w:rPr>
            </w:pPr>
            <w:hyperlink r:id="rId9" w:history="1">
              <w:r w:rsidRPr="00883188">
                <w:rPr>
                  <w:rStyle w:val="Hyperlink"/>
                  <w:rFonts w:asciiTheme="majorBidi" w:hAnsiTheme="majorBidi" w:cstheme="majorBidi"/>
                  <w:sz w:val="18"/>
                  <w:szCs w:val="18"/>
                  <w:lang w:val="fr-CA"/>
                </w:rPr>
                <w:t>https://www.investing.com/commodities/natural-gas-historical-data</w:t>
              </w:r>
            </w:hyperlink>
            <w:r>
              <w:rPr>
                <w:rFonts w:asciiTheme="majorBidi" w:hAnsiTheme="majorBidi" w:cstheme="majorBidi"/>
                <w:sz w:val="18"/>
                <w:szCs w:val="18"/>
                <w:lang w:val="fr-CA"/>
              </w:rPr>
              <w:t xml:space="preserve"> </w:t>
            </w:r>
          </w:p>
        </w:tc>
      </w:tr>
      <w:tr w:rsidR="00566010" w:rsidRPr="00AD341B" w14:paraId="63524D9B" w14:textId="77777777" w:rsidTr="00301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57A35AB" w14:textId="77777777" w:rsidR="002C103A" w:rsidRPr="00AD341B" w:rsidRDefault="002C103A" w:rsidP="00A46FE3">
            <w:pPr>
              <w:spacing w:after="16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Geopolitical Risk Index (GPR)</w:t>
            </w:r>
          </w:p>
        </w:tc>
        <w:tc>
          <w:tcPr>
            <w:tcW w:w="1560" w:type="dxa"/>
            <w:hideMark/>
          </w:tcPr>
          <w:p w14:paraId="6C69D4BC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 index capturing geopolitical risks (wars, terrorism, tensions).</w:t>
            </w:r>
          </w:p>
        </w:tc>
        <w:tc>
          <w:tcPr>
            <w:tcW w:w="992" w:type="dxa"/>
            <w:hideMark/>
          </w:tcPr>
          <w:p w14:paraId="331314A1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Caldara &amp; Iacoviello (2022)</w:t>
            </w:r>
          </w:p>
        </w:tc>
        <w:tc>
          <w:tcPr>
            <w:tcW w:w="1134" w:type="dxa"/>
            <w:hideMark/>
          </w:tcPr>
          <w:p w14:paraId="7E0B205A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Jan 2017 - Jan 2023</w:t>
            </w:r>
          </w:p>
        </w:tc>
        <w:tc>
          <w:tcPr>
            <w:tcW w:w="850" w:type="dxa"/>
            <w:hideMark/>
          </w:tcPr>
          <w:p w14:paraId="0BE521EC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</w:t>
            </w:r>
          </w:p>
        </w:tc>
        <w:tc>
          <w:tcPr>
            <w:tcW w:w="851" w:type="dxa"/>
            <w:hideMark/>
          </w:tcPr>
          <w:p w14:paraId="70530CB5" w14:textId="77777777" w:rsidR="002C103A" w:rsidRPr="00AD341B" w:rsidRDefault="002C103A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N/A</w:t>
            </w:r>
          </w:p>
        </w:tc>
        <w:tc>
          <w:tcPr>
            <w:tcW w:w="3405" w:type="dxa"/>
          </w:tcPr>
          <w:p w14:paraId="4A74878F" w14:textId="37BE3015" w:rsidR="002C103A" w:rsidRPr="00054288" w:rsidRDefault="003E5C87" w:rsidP="00A46F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hyperlink r:id="rId10" w:history="1">
              <w:r w:rsidRPr="00883188">
                <w:rPr>
                  <w:rStyle w:val="Hyperlink"/>
                  <w:rFonts w:asciiTheme="majorBidi" w:hAnsiTheme="majorBidi" w:cstheme="majorBidi"/>
                  <w:sz w:val="18"/>
                  <w:szCs w:val="18"/>
                </w:rPr>
                <w:t>https://www.matteoiacoviello.com/gpr.htm</w:t>
              </w:r>
            </w:hyperlink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F0100F" w:rsidRPr="00676EE7" w14:paraId="4C850C3D" w14:textId="77777777" w:rsidTr="00301217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7782E57" w14:textId="77777777" w:rsidR="002C103A" w:rsidRPr="00AD341B" w:rsidRDefault="002C103A" w:rsidP="00A46FE3">
            <w:pPr>
              <w:spacing w:after="16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Infectious Disease Equity Market Volatility Index (IDEMV)</w:t>
            </w:r>
          </w:p>
        </w:tc>
        <w:tc>
          <w:tcPr>
            <w:tcW w:w="1560" w:type="dxa"/>
            <w:hideMark/>
          </w:tcPr>
          <w:p w14:paraId="0896A330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 index assessing the impact of pandemics on equity markets.</w:t>
            </w:r>
          </w:p>
        </w:tc>
        <w:tc>
          <w:tcPr>
            <w:tcW w:w="992" w:type="dxa"/>
            <w:hideMark/>
          </w:tcPr>
          <w:p w14:paraId="15FF2B47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Baker et al. (2020)</w:t>
            </w:r>
          </w:p>
        </w:tc>
        <w:tc>
          <w:tcPr>
            <w:tcW w:w="1134" w:type="dxa"/>
            <w:hideMark/>
          </w:tcPr>
          <w:p w14:paraId="792BF72A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Jan 2017 - Jan 2023</w:t>
            </w:r>
          </w:p>
        </w:tc>
        <w:tc>
          <w:tcPr>
            <w:tcW w:w="850" w:type="dxa"/>
            <w:hideMark/>
          </w:tcPr>
          <w:p w14:paraId="26B60530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Daily</w:t>
            </w:r>
          </w:p>
        </w:tc>
        <w:tc>
          <w:tcPr>
            <w:tcW w:w="851" w:type="dxa"/>
            <w:hideMark/>
          </w:tcPr>
          <w:p w14:paraId="2FF1D0E4" w14:textId="77777777" w:rsidR="002C103A" w:rsidRPr="00AD341B" w:rsidRDefault="002C103A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AD341B">
              <w:rPr>
                <w:rFonts w:asciiTheme="majorBidi" w:hAnsiTheme="majorBidi" w:cstheme="majorBidi"/>
                <w:sz w:val="18"/>
                <w:szCs w:val="18"/>
              </w:rPr>
              <w:t>N/A</w:t>
            </w:r>
          </w:p>
        </w:tc>
        <w:tc>
          <w:tcPr>
            <w:tcW w:w="3405" w:type="dxa"/>
          </w:tcPr>
          <w:p w14:paraId="431E2362" w14:textId="0404CCE0" w:rsidR="002C103A" w:rsidRPr="00AD341B" w:rsidRDefault="00B6745E" w:rsidP="00A46F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fr-CA"/>
              </w:rPr>
            </w:pPr>
            <w:hyperlink r:id="rId11" w:history="1">
              <w:r w:rsidRPr="00883188">
                <w:rPr>
                  <w:rStyle w:val="Hyperlink"/>
                  <w:rFonts w:asciiTheme="majorBidi" w:hAnsiTheme="majorBidi" w:cstheme="majorBidi"/>
                  <w:sz w:val="18"/>
                  <w:szCs w:val="18"/>
                  <w:lang w:val="fr-CA"/>
                </w:rPr>
                <w:t>https://www.policyuncertainty.com/infectious_EMV.html</w:t>
              </w:r>
            </w:hyperlink>
            <w:r>
              <w:rPr>
                <w:rFonts w:asciiTheme="majorBidi" w:hAnsiTheme="majorBidi" w:cstheme="majorBidi"/>
                <w:sz w:val="18"/>
                <w:szCs w:val="18"/>
                <w:lang w:val="fr-CA"/>
              </w:rPr>
              <w:t xml:space="preserve"> </w:t>
            </w:r>
          </w:p>
        </w:tc>
      </w:tr>
      <w:bookmarkEnd w:id="0"/>
    </w:tbl>
    <w:p w14:paraId="2733623E" w14:textId="77777777" w:rsidR="008860F6" w:rsidRPr="00AE1389" w:rsidRDefault="008860F6" w:rsidP="008860F6">
      <w:pPr>
        <w:pStyle w:val="EndNoteBibliography"/>
        <w:rPr>
          <w:color w:val="0070C0"/>
          <w:szCs w:val="16"/>
          <w:lang w:val="fr-CA"/>
        </w:rPr>
      </w:pPr>
    </w:p>
    <w:p w14:paraId="5FC0FDF3" w14:textId="77777777" w:rsidR="00321BDA" w:rsidRPr="008860F6" w:rsidRDefault="00321BDA">
      <w:pPr>
        <w:rPr>
          <w:lang w:val="fr-CA"/>
        </w:rPr>
      </w:pPr>
    </w:p>
    <w:sectPr w:rsidR="00321BDA" w:rsidRPr="008860F6" w:rsidSect="008860F6">
      <w:headerReference w:type="default" r:id="rId12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0E315" w14:textId="77777777" w:rsidR="00432866" w:rsidRDefault="00432866">
      <w:pPr>
        <w:spacing w:after="0" w:line="240" w:lineRule="auto"/>
      </w:pPr>
      <w:r>
        <w:separator/>
      </w:r>
    </w:p>
  </w:endnote>
  <w:endnote w:type="continuationSeparator" w:id="0">
    <w:p w14:paraId="07FE69FA" w14:textId="77777777" w:rsidR="00432866" w:rsidRDefault="00432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42C2F" w14:textId="77777777" w:rsidR="00432866" w:rsidRDefault="00432866">
      <w:pPr>
        <w:spacing w:after="0" w:line="240" w:lineRule="auto"/>
      </w:pPr>
      <w:r>
        <w:separator/>
      </w:r>
    </w:p>
  </w:footnote>
  <w:footnote w:type="continuationSeparator" w:id="0">
    <w:p w14:paraId="04C9C843" w14:textId="77777777" w:rsidR="00432866" w:rsidRDefault="00432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B571" w14:textId="77777777" w:rsidR="00B06DE7" w:rsidRPr="00A8630A" w:rsidRDefault="00000000" w:rsidP="00A8630A">
    <w:pPr>
      <w:pStyle w:val="Header"/>
      <w:jc w:val="right"/>
      <w:rPr>
        <w:sz w:val="15"/>
        <w:szCs w:val="15"/>
      </w:rPr>
    </w:pPr>
    <w:r w:rsidRPr="00A8630A">
      <w:rPr>
        <w:sz w:val="15"/>
        <w:szCs w:val="15"/>
      </w:rPr>
      <w:fldChar w:fldCharType="begin"/>
    </w:r>
    <w:r w:rsidRPr="00A8630A">
      <w:rPr>
        <w:sz w:val="15"/>
        <w:szCs w:val="15"/>
      </w:rPr>
      <w:instrText xml:space="preserve"> PAGE   \* MERGEFORMAT </w:instrText>
    </w:r>
    <w:r w:rsidRPr="00A8630A">
      <w:rPr>
        <w:sz w:val="15"/>
        <w:szCs w:val="15"/>
      </w:rPr>
      <w:fldChar w:fldCharType="separate"/>
    </w:r>
    <w:r>
      <w:rPr>
        <w:noProof/>
        <w:sz w:val="15"/>
        <w:szCs w:val="15"/>
      </w:rPr>
      <w:t>14</w:t>
    </w:r>
    <w:r w:rsidRPr="00A8630A">
      <w:rPr>
        <w:noProof/>
        <w:sz w:val="15"/>
        <w:szCs w:val="15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09"/>
    <w:rsid w:val="0001046E"/>
    <w:rsid w:val="00054288"/>
    <w:rsid w:val="000E3CBC"/>
    <w:rsid w:val="0013291B"/>
    <w:rsid w:val="0024162C"/>
    <w:rsid w:val="002C103A"/>
    <w:rsid w:val="00301217"/>
    <w:rsid w:val="0031053A"/>
    <w:rsid w:val="00321BDA"/>
    <w:rsid w:val="003E5C87"/>
    <w:rsid w:val="00432866"/>
    <w:rsid w:val="00566010"/>
    <w:rsid w:val="006720A3"/>
    <w:rsid w:val="0078216F"/>
    <w:rsid w:val="007E4089"/>
    <w:rsid w:val="00845830"/>
    <w:rsid w:val="0087056D"/>
    <w:rsid w:val="008860F6"/>
    <w:rsid w:val="008F0D49"/>
    <w:rsid w:val="008F102F"/>
    <w:rsid w:val="0093142B"/>
    <w:rsid w:val="00AC58A1"/>
    <w:rsid w:val="00B06DE7"/>
    <w:rsid w:val="00B6745E"/>
    <w:rsid w:val="00B74394"/>
    <w:rsid w:val="00BC651C"/>
    <w:rsid w:val="00CB775B"/>
    <w:rsid w:val="00DB3D09"/>
    <w:rsid w:val="00E225F6"/>
    <w:rsid w:val="00E34388"/>
    <w:rsid w:val="00EC176C"/>
    <w:rsid w:val="00F0100F"/>
    <w:rsid w:val="00F3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7B9C"/>
  <w15:chartTrackingRefBased/>
  <w15:docId w15:val="{90BC61CF-5D55-4FFD-892B-EEEAC1DB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per title"/>
    <w:qFormat/>
    <w:rsid w:val="008860F6"/>
    <w:pPr>
      <w:spacing w:after="360" w:line="259" w:lineRule="auto"/>
    </w:pPr>
    <w:rPr>
      <w:rFonts w:ascii="Times New Roman" w:eastAsia="Calibri" w:hAnsi="Times New Roman" w:cs="Arial"/>
      <w:b/>
      <w:kern w:val="0"/>
      <w:sz w:val="3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D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0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0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0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0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0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09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b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3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line="278" w:lineRule="auto"/>
      <w:ind w:left="864" w:right="864"/>
      <w:jc w:val="center"/>
    </w:pPr>
    <w:rPr>
      <w:rFonts w:asciiTheme="minorHAnsi" w:eastAsiaTheme="minorHAnsi" w:hAnsiTheme="minorHAnsi" w:cstheme="minorBidi"/>
      <w:b w:val="0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09"/>
    <w:rPr>
      <w:b/>
      <w:bCs/>
      <w:smallCaps/>
      <w:color w:val="0F4761" w:themeColor="accent1" w:themeShade="BF"/>
      <w:spacing w:val="5"/>
    </w:rPr>
  </w:style>
  <w:style w:type="paragraph" w:customStyle="1" w:styleId="EndNoteBibliography">
    <w:name w:val="EndNote Bibliography"/>
    <w:basedOn w:val="Normal"/>
    <w:link w:val="EndNoteBibliographyCar"/>
    <w:rsid w:val="008860F6"/>
    <w:pPr>
      <w:spacing w:line="240" w:lineRule="auto"/>
      <w:jc w:val="both"/>
    </w:pPr>
    <w:rPr>
      <w:rFonts w:cs="Times New Roman"/>
      <w:noProof/>
      <w:sz w:val="16"/>
      <w:lang w:val="en-US"/>
    </w:rPr>
  </w:style>
  <w:style w:type="character" w:customStyle="1" w:styleId="EndNoteBibliographyCar">
    <w:name w:val="EndNote Bibliography Car"/>
    <w:link w:val="EndNoteBibliography"/>
    <w:rsid w:val="008860F6"/>
    <w:rPr>
      <w:rFonts w:ascii="Times New Roman" w:eastAsia="Calibri" w:hAnsi="Times New Roman" w:cs="Times New Roman"/>
      <w:b/>
      <w:noProof/>
      <w:kern w:val="0"/>
      <w:sz w:val="16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6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0F6"/>
    <w:rPr>
      <w:rFonts w:ascii="Times New Roman" w:eastAsia="Calibri" w:hAnsi="Times New Roman" w:cs="Arial"/>
      <w:b/>
      <w:kern w:val="0"/>
      <w:sz w:val="32"/>
      <w:szCs w:val="22"/>
      <w:lang w:val="en-GB"/>
      <w14:ligatures w14:val="none"/>
    </w:rPr>
  </w:style>
  <w:style w:type="table" w:styleId="ListTable1Light">
    <w:name w:val="List Table 1 Light"/>
    <w:basedOn w:val="TableNormal"/>
    <w:uiPriority w:val="46"/>
    <w:rsid w:val="008860F6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C1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0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65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ing.com/commodities/crude-oil-historical-dat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vesting.com/commodities/gold-historical-data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esting.com/crypto/bitcoin/historical-data" TargetMode="External"/><Relationship Id="rId11" Type="http://schemas.openxmlformats.org/officeDocument/2006/relationships/hyperlink" Target="https://www.policyuncertainty.com/infectious_EMV.html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matteoiacoviello.com/gpr.ht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investing.com/commodities/natural-gas-historical-dat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Hanen Mohamed Hsan Ben amer</dc:creator>
  <cp:keywords/>
  <dc:description/>
  <cp:lastModifiedBy>Hanen Mohamed Hsan Ben amer</cp:lastModifiedBy>
  <cp:revision>9</cp:revision>
  <dcterms:created xsi:type="dcterms:W3CDTF">2025-05-03T12:41:00Z</dcterms:created>
  <dcterms:modified xsi:type="dcterms:W3CDTF">2025-05-09T13:08:00Z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259a66-0861-43b6-bb6a-1864f8476a8a_Enabled">
    <vt:lpwstr>true</vt:lpwstr>
  </property>
  <property fmtid="{D5CDD505-2E9C-101B-9397-08002B2CF9AE}" pid="3" name="MSIP_Label_37259a66-0861-43b6-bb6a-1864f8476a8a_SetDate">
    <vt:lpwstr>2025-05-03T12:41:52Z</vt:lpwstr>
  </property>
  <property fmtid="{D5CDD505-2E9C-101B-9397-08002B2CF9AE}" pid="4" name="MSIP_Label_37259a66-0861-43b6-bb6a-1864f8476a8a_Method">
    <vt:lpwstr>Standard</vt:lpwstr>
  </property>
  <property fmtid="{D5CDD505-2E9C-101B-9397-08002B2CF9AE}" pid="5" name="MSIP_Label_37259a66-0861-43b6-bb6a-1864f8476a8a_Name">
    <vt:lpwstr>defa4170-0d19-0005-0004-bc88714345d2</vt:lpwstr>
  </property>
  <property fmtid="{D5CDD505-2E9C-101B-9397-08002B2CF9AE}" pid="6" name="MSIP_Label_37259a66-0861-43b6-bb6a-1864f8476a8a_SiteId">
    <vt:lpwstr>e26bab4b-97e6-4754-b163-60f8237e8531</vt:lpwstr>
  </property>
  <property fmtid="{D5CDD505-2E9C-101B-9397-08002B2CF9AE}" pid="7" name="MSIP_Label_37259a66-0861-43b6-bb6a-1864f8476a8a_ActionId">
    <vt:lpwstr>7212b17a-62ba-42db-a103-a35689def72f</vt:lpwstr>
  </property>
  <property fmtid="{D5CDD505-2E9C-101B-9397-08002B2CF9AE}" pid="8" name="MSIP_Label_37259a66-0861-43b6-bb6a-1864f8476a8a_ContentBits">
    <vt:lpwstr>0</vt:lpwstr>
  </property>
  <property fmtid="{D5CDD505-2E9C-101B-9397-08002B2CF9AE}" pid="9" name="MSIP_Label_37259a66-0861-43b6-bb6a-1864f8476a8a_Tag">
    <vt:lpwstr>10, 3, 0, 1</vt:lpwstr>
  </property>
</Properties>
</file>