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41F" w:rsidRPr="00254D61" w:rsidRDefault="002F0A75" w:rsidP="00254D61">
      <w:pPr>
        <w:ind w:left="0"/>
        <w:jc w:val="center"/>
        <w:rPr>
          <w:rFonts w:asciiTheme="majorBidi" w:hAnsiTheme="majorBidi" w:cstheme="majorBidi"/>
          <w:sz w:val="36"/>
          <w:szCs w:val="36"/>
        </w:rPr>
      </w:pPr>
      <w:r w:rsidRPr="00254D61">
        <w:rPr>
          <w:rFonts w:asciiTheme="majorBidi" w:hAnsiTheme="majorBidi" w:cstheme="majorBidi"/>
          <w:sz w:val="36"/>
          <w:szCs w:val="36"/>
        </w:rPr>
        <w:t xml:space="preserve">Improving the Use of </w:t>
      </w:r>
      <w:r w:rsidR="00577D42" w:rsidRPr="00254D61">
        <w:rPr>
          <w:rFonts w:asciiTheme="majorBidi" w:hAnsiTheme="majorBidi" w:cstheme="majorBidi"/>
          <w:sz w:val="36"/>
          <w:szCs w:val="36"/>
        </w:rPr>
        <w:t>XBRL Data – Through Imputation and Industry Dissemination</w:t>
      </w:r>
    </w:p>
    <w:p w:rsidR="00254D61" w:rsidRPr="00254D61" w:rsidRDefault="00254D61" w:rsidP="00530BF5">
      <w:pPr>
        <w:jc w:val="center"/>
        <w:rPr>
          <w:rFonts w:asciiTheme="majorBidi" w:hAnsiTheme="majorBidi" w:cstheme="majorBidi"/>
          <w:sz w:val="36"/>
          <w:szCs w:val="36"/>
        </w:rPr>
      </w:pPr>
    </w:p>
    <w:p w:rsidR="00BB06F9" w:rsidRPr="00254D61" w:rsidRDefault="00BB06F9" w:rsidP="00254D61">
      <w:pPr>
        <w:pStyle w:val="Default"/>
        <w:widowControl w:val="0"/>
        <w:adjustRightInd/>
        <w:spacing w:line="360" w:lineRule="auto"/>
        <w:jc w:val="center"/>
        <w:rPr>
          <w:rFonts w:asciiTheme="majorBidi" w:eastAsia="MS Mincho" w:hAnsiTheme="majorBidi" w:cstheme="majorBidi"/>
          <w:sz w:val="21"/>
          <w:szCs w:val="21"/>
        </w:rPr>
      </w:pPr>
      <w:r w:rsidRPr="00254D61">
        <w:rPr>
          <w:rFonts w:asciiTheme="majorBidi" w:eastAsia="MS Mincho" w:hAnsiTheme="majorBidi" w:cstheme="majorBidi"/>
          <w:sz w:val="21"/>
          <w:szCs w:val="21"/>
        </w:rPr>
        <w:t xml:space="preserve">Amos </w:t>
      </w:r>
      <w:proofErr w:type="spellStart"/>
      <w:r w:rsidRPr="00254D61">
        <w:rPr>
          <w:rFonts w:asciiTheme="majorBidi" w:eastAsia="MS Mincho" w:hAnsiTheme="majorBidi" w:cstheme="majorBidi"/>
          <w:sz w:val="21"/>
          <w:szCs w:val="21"/>
        </w:rPr>
        <w:t>Baranes</w:t>
      </w:r>
      <w:proofErr w:type="spellEnd"/>
      <w:r w:rsidR="00450735" w:rsidRPr="00254D61">
        <w:rPr>
          <w:rFonts w:asciiTheme="majorBidi" w:eastAsia="MS Mincho" w:hAnsiTheme="majorBidi" w:cstheme="majorBidi"/>
          <w:sz w:val="21"/>
          <w:szCs w:val="21"/>
        </w:rPr>
        <w:t xml:space="preserve">, </w:t>
      </w:r>
    </w:p>
    <w:p w:rsidR="00BB06F9" w:rsidRPr="00254D61" w:rsidRDefault="00BB06F9" w:rsidP="00254D61">
      <w:pPr>
        <w:pStyle w:val="Default"/>
        <w:widowControl w:val="0"/>
        <w:adjustRightInd/>
        <w:spacing w:line="360" w:lineRule="auto"/>
        <w:jc w:val="center"/>
        <w:rPr>
          <w:rFonts w:asciiTheme="majorBidi" w:eastAsia="MS Mincho" w:hAnsiTheme="majorBidi" w:cstheme="majorBidi"/>
          <w:sz w:val="18"/>
          <w:szCs w:val="21"/>
        </w:rPr>
      </w:pPr>
      <w:r w:rsidRPr="00254D61">
        <w:rPr>
          <w:rFonts w:asciiTheme="majorBidi" w:eastAsia="MS Mincho" w:hAnsiTheme="majorBidi" w:cstheme="majorBidi"/>
          <w:sz w:val="18"/>
          <w:szCs w:val="21"/>
        </w:rPr>
        <w:t>Peres Academic Center</w:t>
      </w:r>
    </w:p>
    <w:p w:rsidR="00BB06F9" w:rsidRPr="00254D61" w:rsidRDefault="00BB06F9" w:rsidP="00254D61">
      <w:pPr>
        <w:pStyle w:val="Default"/>
        <w:widowControl w:val="0"/>
        <w:adjustRightInd/>
        <w:spacing w:line="360" w:lineRule="auto"/>
        <w:jc w:val="center"/>
        <w:rPr>
          <w:rFonts w:asciiTheme="majorBidi" w:eastAsia="MS Mincho" w:hAnsiTheme="majorBidi" w:cstheme="majorBidi"/>
          <w:sz w:val="18"/>
          <w:szCs w:val="21"/>
        </w:rPr>
      </w:pPr>
      <w:r w:rsidRPr="00254D61">
        <w:rPr>
          <w:rFonts w:asciiTheme="majorBidi" w:eastAsia="MS Mincho" w:hAnsiTheme="majorBidi" w:cstheme="majorBidi"/>
          <w:sz w:val="18"/>
          <w:szCs w:val="21"/>
        </w:rPr>
        <w:t xml:space="preserve">8 </w:t>
      </w:r>
      <w:proofErr w:type="spellStart"/>
      <w:r w:rsidRPr="00254D61">
        <w:rPr>
          <w:rFonts w:asciiTheme="majorBidi" w:eastAsia="MS Mincho" w:hAnsiTheme="majorBidi" w:cstheme="majorBidi"/>
          <w:sz w:val="18"/>
          <w:szCs w:val="21"/>
        </w:rPr>
        <w:t>HaNeviim</w:t>
      </w:r>
      <w:proofErr w:type="spellEnd"/>
      <w:r w:rsidRPr="00254D61">
        <w:rPr>
          <w:rFonts w:asciiTheme="majorBidi" w:eastAsia="MS Mincho" w:hAnsiTheme="majorBidi" w:cstheme="majorBidi"/>
          <w:sz w:val="18"/>
          <w:szCs w:val="21"/>
        </w:rPr>
        <w:t xml:space="preserve"> St., POB 328, Rehovot, Israel 76120</w:t>
      </w:r>
    </w:p>
    <w:p w:rsidR="00254D61" w:rsidRPr="00254D61" w:rsidRDefault="00254D61" w:rsidP="00254D61">
      <w:pPr>
        <w:pStyle w:val="Default"/>
        <w:widowControl w:val="0"/>
        <w:adjustRightInd/>
        <w:spacing w:line="360" w:lineRule="auto"/>
        <w:jc w:val="center"/>
        <w:rPr>
          <w:rFonts w:asciiTheme="majorBidi" w:eastAsia="MS Mincho" w:hAnsiTheme="majorBidi" w:cstheme="majorBidi"/>
          <w:sz w:val="18"/>
          <w:szCs w:val="21"/>
        </w:rPr>
      </w:pPr>
    </w:p>
    <w:p w:rsidR="00254D61" w:rsidRPr="00254D61" w:rsidRDefault="00254D61" w:rsidP="00254D61">
      <w:pPr>
        <w:pStyle w:val="Default"/>
        <w:widowControl w:val="0"/>
        <w:adjustRightInd/>
        <w:spacing w:line="360" w:lineRule="auto"/>
        <w:jc w:val="center"/>
        <w:rPr>
          <w:rFonts w:asciiTheme="majorBidi" w:eastAsia="MS Mincho" w:hAnsiTheme="majorBidi" w:cstheme="majorBidi"/>
          <w:sz w:val="21"/>
          <w:szCs w:val="21"/>
        </w:rPr>
      </w:pPr>
      <w:r w:rsidRPr="00254D61">
        <w:rPr>
          <w:rFonts w:asciiTheme="majorBidi" w:eastAsia="MS Mincho" w:hAnsiTheme="majorBidi" w:cstheme="majorBidi"/>
          <w:sz w:val="21"/>
          <w:szCs w:val="21"/>
        </w:rPr>
        <w:t>Rimona Palas</w:t>
      </w:r>
    </w:p>
    <w:p w:rsidR="00BB06F9" w:rsidRPr="00254D61" w:rsidRDefault="00BB06F9" w:rsidP="00254D61">
      <w:pPr>
        <w:pStyle w:val="Default"/>
        <w:widowControl w:val="0"/>
        <w:adjustRightInd/>
        <w:spacing w:line="360" w:lineRule="auto"/>
        <w:jc w:val="center"/>
        <w:rPr>
          <w:rFonts w:asciiTheme="majorBidi" w:eastAsia="MS Mincho" w:hAnsiTheme="majorBidi" w:cstheme="majorBidi"/>
          <w:sz w:val="18"/>
          <w:szCs w:val="21"/>
        </w:rPr>
      </w:pPr>
      <w:r w:rsidRPr="00254D61">
        <w:rPr>
          <w:rFonts w:asciiTheme="majorBidi" w:eastAsia="MS Mincho" w:hAnsiTheme="majorBidi" w:cstheme="majorBidi"/>
          <w:sz w:val="18"/>
          <w:szCs w:val="21"/>
        </w:rPr>
        <w:t>Accounting Department, School of Business, College of Law and Business</w:t>
      </w:r>
    </w:p>
    <w:p w:rsidR="00BB06F9" w:rsidRPr="00254D61" w:rsidRDefault="00BB06F9" w:rsidP="00254D61">
      <w:pPr>
        <w:pStyle w:val="Default"/>
        <w:widowControl w:val="0"/>
        <w:adjustRightInd/>
        <w:spacing w:line="360" w:lineRule="auto"/>
        <w:jc w:val="center"/>
        <w:rPr>
          <w:rFonts w:asciiTheme="majorBidi" w:eastAsia="MS Mincho" w:hAnsiTheme="majorBidi" w:cstheme="majorBidi"/>
          <w:sz w:val="18"/>
          <w:szCs w:val="21"/>
        </w:rPr>
      </w:pPr>
      <w:r w:rsidRPr="00254D61">
        <w:rPr>
          <w:rFonts w:asciiTheme="majorBidi" w:eastAsia="MS Mincho" w:hAnsiTheme="majorBidi" w:cstheme="majorBidi"/>
          <w:sz w:val="18"/>
          <w:szCs w:val="21"/>
        </w:rPr>
        <w:t>#24 Ben Gurion St., Ramat Gan, Israel 5110801</w:t>
      </w:r>
    </w:p>
    <w:p w:rsidR="00920730" w:rsidRPr="00E61FEA" w:rsidRDefault="00D1404D" w:rsidP="00530BF5">
      <w:pPr>
        <w:spacing w:before="100" w:beforeAutospacing="1"/>
        <w:rPr>
          <w:rFonts w:asciiTheme="majorBidi" w:hAnsiTheme="majorBidi" w:cstheme="majorBidi"/>
          <w:sz w:val="18"/>
          <w:szCs w:val="18"/>
          <w:rtl/>
        </w:rPr>
      </w:pPr>
      <w:r w:rsidRPr="00E61FEA">
        <w:rPr>
          <w:rFonts w:asciiTheme="majorBidi" w:hAnsiTheme="majorBidi" w:cstheme="majorBidi"/>
          <w:sz w:val="18"/>
          <w:szCs w:val="18"/>
        </w:rPr>
        <w:t xml:space="preserve">XBRL Financial Reporting Taxonomy is considered one of the most significant changes in the disclosure environments in U.S. capital markets. The ability to use the data is vital to its implementation. The main purpose of this study is not to show that XBRL provides more useful information (i.e. better prediction models) than COMPUSTAT, or to examine the validity of the financial analysis tools but only to examine whether </w:t>
      </w:r>
      <w:r w:rsidR="00AD70BC">
        <w:rPr>
          <w:rFonts w:asciiTheme="majorBidi" w:hAnsiTheme="majorBidi" w:cstheme="majorBidi"/>
          <w:sz w:val="18"/>
          <w:szCs w:val="18"/>
        </w:rPr>
        <w:t>XBRL data</w:t>
      </w:r>
      <w:r w:rsidRPr="00E61FEA">
        <w:rPr>
          <w:rFonts w:asciiTheme="majorBidi" w:hAnsiTheme="majorBidi" w:cstheme="majorBidi"/>
          <w:sz w:val="18"/>
          <w:szCs w:val="18"/>
        </w:rPr>
        <w:t xml:space="preserve"> can be used for financial statement analysis. </w:t>
      </w:r>
    </w:p>
    <w:p w:rsidR="00920730" w:rsidRPr="00E61FEA" w:rsidRDefault="00920730" w:rsidP="00530BF5">
      <w:pPr>
        <w:rPr>
          <w:rFonts w:asciiTheme="majorBidi" w:hAnsiTheme="majorBidi" w:cstheme="majorBidi"/>
          <w:sz w:val="18"/>
          <w:szCs w:val="18"/>
        </w:rPr>
      </w:pPr>
      <w:r w:rsidRPr="00E61FEA">
        <w:rPr>
          <w:rFonts w:asciiTheme="majorBidi" w:hAnsiTheme="majorBidi" w:cstheme="majorBidi"/>
          <w:sz w:val="18"/>
          <w:szCs w:val="18"/>
        </w:rPr>
        <w:t xml:space="preserve">The study analyzes companies' XBRL </w:t>
      </w:r>
      <w:r w:rsidR="002E39A7" w:rsidRPr="00E61FEA">
        <w:rPr>
          <w:rFonts w:asciiTheme="majorBidi" w:hAnsiTheme="majorBidi" w:cstheme="majorBidi"/>
          <w:sz w:val="18"/>
          <w:szCs w:val="18"/>
        </w:rPr>
        <w:t xml:space="preserve">filings of </w:t>
      </w:r>
      <w:r w:rsidRPr="00E61FEA">
        <w:rPr>
          <w:rFonts w:asciiTheme="majorBidi" w:hAnsiTheme="majorBidi" w:cstheme="majorBidi"/>
          <w:sz w:val="18"/>
          <w:szCs w:val="18"/>
        </w:rPr>
        <w:t>quarterly data from 2011 to 201</w:t>
      </w:r>
      <w:r w:rsidR="002E39A7" w:rsidRPr="00E61FEA">
        <w:rPr>
          <w:rFonts w:asciiTheme="majorBidi" w:hAnsiTheme="majorBidi" w:cstheme="majorBidi"/>
          <w:sz w:val="18"/>
          <w:szCs w:val="18"/>
        </w:rPr>
        <w:t>6</w:t>
      </w:r>
      <w:r w:rsidRPr="00E61FEA">
        <w:rPr>
          <w:rFonts w:asciiTheme="majorBidi" w:hAnsiTheme="majorBidi" w:cstheme="majorBidi"/>
          <w:sz w:val="18"/>
          <w:szCs w:val="18"/>
        </w:rPr>
        <w:t xml:space="preserve">, using a two-step Logit regression model. The model is then used to arrive at the probability of the directional movement of earnings between current quarter and subsequent quarter. The results classified the companies as ones that would realize an increase or a decrease in earnings. </w:t>
      </w:r>
    </w:p>
    <w:p w:rsidR="00920730" w:rsidRPr="00E61FEA" w:rsidRDefault="00920730" w:rsidP="00530BF5">
      <w:pPr>
        <w:rPr>
          <w:rFonts w:asciiTheme="majorBidi" w:hAnsiTheme="majorBidi" w:cstheme="majorBidi"/>
          <w:sz w:val="18"/>
          <w:szCs w:val="18"/>
        </w:rPr>
      </w:pPr>
      <w:r w:rsidRPr="00E61FEA">
        <w:rPr>
          <w:rFonts w:asciiTheme="majorBidi" w:hAnsiTheme="majorBidi" w:cstheme="majorBidi"/>
          <w:sz w:val="18"/>
          <w:szCs w:val="18"/>
        </w:rPr>
        <w:t>Although the final model indicated an ability to predict subsequent earnings changes on average about 67% of the time (</w:t>
      </w:r>
      <w:proofErr w:type="gramStart"/>
      <w:r w:rsidRPr="00E61FEA">
        <w:rPr>
          <w:rFonts w:asciiTheme="majorBidi" w:hAnsiTheme="majorBidi" w:cstheme="majorBidi"/>
          <w:sz w:val="18"/>
          <w:szCs w:val="18"/>
        </w:rPr>
        <w:t xml:space="preserve">similar </w:t>
      </w:r>
      <w:r w:rsidR="0002097F">
        <w:rPr>
          <w:rFonts w:asciiTheme="majorBidi" w:hAnsiTheme="majorBidi" w:cstheme="majorBidi"/>
          <w:sz w:val="18"/>
          <w:szCs w:val="18"/>
        </w:rPr>
        <w:t>to</w:t>
      </w:r>
      <w:proofErr w:type="gramEnd"/>
      <w:r w:rsidRPr="00E61FEA">
        <w:rPr>
          <w:rFonts w:asciiTheme="majorBidi" w:hAnsiTheme="majorBidi" w:cstheme="majorBidi"/>
          <w:sz w:val="18"/>
          <w:szCs w:val="18"/>
        </w:rPr>
        <w:t xml:space="preserve"> previous studies), it based the models on about 23% of the </w:t>
      </w:r>
      <w:r w:rsidR="005C5FC0" w:rsidRPr="00E61FEA">
        <w:rPr>
          <w:rFonts w:asciiTheme="majorBidi" w:hAnsiTheme="majorBidi" w:cstheme="majorBidi"/>
          <w:sz w:val="18"/>
          <w:szCs w:val="18"/>
        </w:rPr>
        <w:t>entire sample</w:t>
      </w:r>
      <w:r w:rsidRPr="00E61FEA">
        <w:rPr>
          <w:rFonts w:asciiTheme="majorBidi" w:hAnsiTheme="majorBidi" w:cstheme="majorBidi"/>
          <w:sz w:val="18"/>
          <w:szCs w:val="18"/>
        </w:rPr>
        <w:t xml:space="preserve"> examined</w:t>
      </w:r>
      <w:r w:rsidR="005C5FC0" w:rsidRPr="00E61FEA">
        <w:rPr>
          <w:rFonts w:asciiTheme="majorBidi" w:hAnsiTheme="majorBidi" w:cstheme="majorBidi"/>
          <w:sz w:val="18"/>
          <w:szCs w:val="18"/>
        </w:rPr>
        <w:t>,</w:t>
      </w:r>
      <w:r w:rsidRPr="00E61FEA">
        <w:rPr>
          <w:rFonts w:asciiTheme="majorBidi" w:hAnsiTheme="majorBidi" w:cstheme="majorBidi"/>
          <w:sz w:val="18"/>
          <w:szCs w:val="18"/>
        </w:rPr>
        <w:t xml:space="preserve"> and could classify less than 10% of the </w:t>
      </w:r>
      <w:r w:rsidR="005C5FC0" w:rsidRPr="00E61FEA">
        <w:rPr>
          <w:rFonts w:asciiTheme="majorBidi" w:hAnsiTheme="majorBidi" w:cstheme="majorBidi"/>
          <w:sz w:val="18"/>
          <w:szCs w:val="18"/>
        </w:rPr>
        <w:t>entire sample</w:t>
      </w:r>
      <w:r w:rsidRPr="00E61FEA">
        <w:rPr>
          <w:rFonts w:asciiTheme="majorBidi" w:hAnsiTheme="majorBidi" w:cstheme="majorBidi"/>
          <w:sz w:val="18"/>
          <w:szCs w:val="18"/>
        </w:rPr>
        <w:t>.</w:t>
      </w:r>
    </w:p>
    <w:p w:rsidR="00920730" w:rsidRPr="00E61FEA" w:rsidRDefault="00920730" w:rsidP="00530BF5">
      <w:pPr>
        <w:rPr>
          <w:rFonts w:asciiTheme="majorBidi" w:hAnsiTheme="majorBidi" w:cstheme="majorBidi"/>
          <w:sz w:val="18"/>
          <w:szCs w:val="18"/>
        </w:rPr>
      </w:pPr>
      <w:r w:rsidRPr="00E61FEA">
        <w:rPr>
          <w:rFonts w:asciiTheme="majorBidi" w:hAnsiTheme="majorBidi" w:cstheme="majorBidi"/>
          <w:sz w:val="18"/>
          <w:szCs w:val="18"/>
        </w:rPr>
        <w:t xml:space="preserve">The inability to model most of the companies is due to </w:t>
      </w:r>
      <w:r w:rsidR="00D1404D" w:rsidRPr="00E61FEA">
        <w:rPr>
          <w:rFonts w:asciiTheme="majorBidi" w:hAnsiTheme="majorBidi" w:cstheme="majorBidi"/>
          <w:sz w:val="18"/>
          <w:szCs w:val="18"/>
        </w:rPr>
        <w:t xml:space="preserve">incompleteness </w:t>
      </w:r>
      <w:r w:rsidRPr="00E61FEA">
        <w:rPr>
          <w:rFonts w:asciiTheme="majorBidi" w:hAnsiTheme="majorBidi" w:cstheme="majorBidi"/>
          <w:sz w:val="18"/>
          <w:szCs w:val="18"/>
        </w:rPr>
        <w:t xml:space="preserve">of the </w:t>
      </w:r>
      <w:proofErr w:type="gramStart"/>
      <w:r w:rsidRPr="00E61FEA">
        <w:rPr>
          <w:rFonts w:asciiTheme="majorBidi" w:hAnsiTheme="majorBidi" w:cstheme="majorBidi"/>
          <w:sz w:val="18"/>
          <w:szCs w:val="18"/>
        </w:rPr>
        <w:t>data</w:t>
      </w:r>
      <w:r w:rsidR="00D12AF8">
        <w:rPr>
          <w:rFonts w:asciiTheme="majorBidi" w:hAnsiTheme="majorBidi" w:cstheme="majorBidi" w:hint="cs"/>
          <w:sz w:val="18"/>
          <w:szCs w:val="18"/>
          <w:rtl/>
        </w:rPr>
        <w:t xml:space="preserve"> </w:t>
      </w:r>
      <w:r w:rsidR="00D12AF8">
        <w:rPr>
          <w:rFonts w:asciiTheme="majorBidi" w:hAnsiTheme="majorBidi" w:cstheme="majorBidi"/>
          <w:sz w:val="18"/>
          <w:szCs w:val="18"/>
        </w:rPr>
        <w:t xml:space="preserve"> in</w:t>
      </w:r>
      <w:proofErr w:type="gramEnd"/>
      <w:r w:rsidR="00D12AF8">
        <w:rPr>
          <w:rFonts w:asciiTheme="majorBidi" w:hAnsiTheme="majorBidi" w:cstheme="majorBidi"/>
          <w:sz w:val="18"/>
          <w:szCs w:val="18"/>
        </w:rPr>
        <w:t xml:space="preserve"> XBRL filings. </w:t>
      </w:r>
      <w:proofErr w:type="gramStart"/>
      <w:r w:rsidR="00D12AF8">
        <w:rPr>
          <w:rFonts w:asciiTheme="majorBidi" w:hAnsiTheme="majorBidi" w:cstheme="majorBidi"/>
          <w:sz w:val="18"/>
          <w:szCs w:val="18"/>
        </w:rPr>
        <w:t>In order</w:t>
      </w:r>
      <w:r w:rsidRPr="00E61FEA">
        <w:rPr>
          <w:rFonts w:asciiTheme="majorBidi" w:hAnsiTheme="majorBidi" w:cstheme="majorBidi"/>
          <w:sz w:val="18"/>
          <w:szCs w:val="18"/>
        </w:rPr>
        <w:t xml:space="preserve"> to</w:t>
      </w:r>
      <w:proofErr w:type="gramEnd"/>
      <w:r w:rsidRPr="00E61FEA">
        <w:rPr>
          <w:rFonts w:asciiTheme="majorBidi" w:hAnsiTheme="majorBidi" w:cstheme="majorBidi"/>
          <w:sz w:val="18"/>
          <w:szCs w:val="18"/>
        </w:rPr>
        <w:t xml:space="preserve"> overcome this problem Multivariate Imputation by Chained Equations (MICE) w</w:t>
      </w:r>
      <w:r w:rsidR="00497931" w:rsidRPr="00E61FEA">
        <w:rPr>
          <w:rFonts w:asciiTheme="majorBidi" w:hAnsiTheme="majorBidi" w:cstheme="majorBidi"/>
          <w:sz w:val="18"/>
          <w:szCs w:val="18"/>
        </w:rPr>
        <w:t>as</w:t>
      </w:r>
      <w:r w:rsidRPr="00E61FEA">
        <w:rPr>
          <w:rFonts w:asciiTheme="majorBidi" w:hAnsiTheme="majorBidi" w:cstheme="majorBidi"/>
          <w:sz w:val="18"/>
          <w:szCs w:val="18"/>
        </w:rPr>
        <w:t xml:space="preserve"> implemented. This increased the number of observations in the final models by 150%. </w:t>
      </w:r>
      <w:r w:rsidR="00497931" w:rsidRPr="00E61FEA">
        <w:rPr>
          <w:rFonts w:asciiTheme="majorBidi" w:hAnsiTheme="majorBidi" w:cstheme="majorBidi"/>
          <w:sz w:val="18"/>
          <w:szCs w:val="18"/>
        </w:rPr>
        <w:t xml:space="preserve">The models </w:t>
      </w:r>
      <w:r w:rsidR="002E39A7" w:rsidRPr="00E61FEA">
        <w:rPr>
          <w:rFonts w:asciiTheme="majorBidi" w:hAnsiTheme="majorBidi" w:cstheme="majorBidi"/>
          <w:sz w:val="18"/>
          <w:szCs w:val="18"/>
        </w:rPr>
        <w:t>utilized</w:t>
      </w:r>
      <w:r w:rsidR="00497931" w:rsidRPr="00E61FEA">
        <w:rPr>
          <w:rFonts w:asciiTheme="majorBidi" w:hAnsiTheme="majorBidi" w:cstheme="majorBidi"/>
          <w:sz w:val="18"/>
          <w:szCs w:val="18"/>
        </w:rPr>
        <w:t xml:space="preserve"> </w:t>
      </w:r>
      <w:r w:rsidRPr="00E61FEA">
        <w:rPr>
          <w:rFonts w:asciiTheme="majorBidi" w:hAnsiTheme="majorBidi" w:cstheme="majorBidi"/>
          <w:sz w:val="18"/>
          <w:szCs w:val="18"/>
        </w:rPr>
        <w:t>56% of the original companies (more than double) and classif</w:t>
      </w:r>
      <w:r w:rsidR="002E39A7" w:rsidRPr="00E61FEA">
        <w:rPr>
          <w:rFonts w:asciiTheme="majorBidi" w:hAnsiTheme="majorBidi" w:cstheme="majorBidi"/>
          <w:sz w:val="18"/>
          <w:szCs w:val="18"/>
        </w:rPr>
        <w:t>ied</w:t>
      </w:r>
      <w:r w:rsidRPr="00E61FEA">
        <w:rPr>
          <w:rFonts w:asciiTheme="majorBidi" w:hAnsiTheme="majorBidi" w:cstheme="majorBidi"/>
          <w:sz w:val="18"/>
          <w:szCs w:val="18"/>
        </w:rPr>
        <w:t xml:space="preserve"> 27% of the original companies (</w:t>
      </w:r>
      <w:r w:rsidR="002E39A7" w:rsidRPr="00E61FEA">
        <w:rPr>
          <w:rFonts w:asciiTheme="majorBidi" w:hAnsiTheme="majorBidi" w:cstheme="majorBidi"/>
          <w:sz w:val="18"/>
          <w:szCs w:val="18"/>
        </w:rPr>
        <w:t>about triple</w:t>
      </w:r>
      <w:r w:rsidR="00497931" w:rsidRPr="00E61FEA">
        <w:rPr>
          <w:rFonts w:asciiTheme="majorBidi" w:hAnsiTheme="majorBidi" w:cstheme="majorBidi"/>
          <w:sz w:val="18"/>
          <w:szCs w:val="18"/>
        </w:rPr>
        <w:t>), and still increase</w:t>
      </w:r>
      <w:r w:rsidR="002E39A7" w:rsidRPr="00E61FEA">
        <w:rPr>
          <w:rFonts w:asciiTheme="majorBidi" w:hAnsiTheme="majorBidi" w:cstheme="majorBidi"/>
          <w:sz w:val="18"/>
          <w:szCs w:val="18"/>
        </w:rPr>
        <w:t>d</w:t>
      </w:r>
      <w:r w:rsidR="00497931" w:rsidRPr="00E61FEA">
        <w:rPr>
          <w:rFonts w:asciiTheme="majorBidi" w:hAnsiTheme="majorBidi" w:cstheme="majorBidi"/>
          <w:sz w:val="18"/>
          <w:szCs w:val="18"/>
        </w:rPr>
        <w:t xml:space="preserve"> </w:t>
      </w:r>
      <w:r w:rsidRPr="00E61FEA">
        <w:rPr>
          <w:rFonts w:asciiTheme="majorBidi" w:hAnsiTheme="majorBidi" w:cstheme="majorBidi"/>
          <w:sz w:val="18"/>
          <w:szCs w:val="18"/>
        </w:rPr>
        <w:t xml:space="preserve">the accuracy of prediction to 68%. </w:t>
      </w:r>
    </w:p>
    <w:p w:rsidR="00D1404D" w:rsidRPr="00E61FEA" w:rsidRDefault="00D1404D" w:rsidP="00530BF5">
      <w:pPr>
        <w:rPr>
          <w:rFonts w:asciiTheme="majorBidi" w:hAnsiTheme="majorBidi" w:cstheme="majorBidi"/>
          <w:sz w:val="18"/>
          <w:szCs w:val="18"/>
        </w:rPr>
      </w:pPr>
      <w:r w:rsidRPr="00E61FEA">
        <w:rPr>
          <w:rFonts w:asciiTheme="majorBidi" w:hAnsiTheme="majorBidi" w:cstheme="majorBidi"/>
          <w:sz w:val="18"/>
          <w:szCs w:val="18"/>
        </w:rPr>
        <w:t>Dissemination of the model</w:t>
      </w:r>
      <w:r w:rsidR="00FA1EB7" w:rsidRPr="00E61FEA">
        <w:rPr>
          <w:rFonts w:asciiTheme="majorBidi" w:hAnsiTheme="majorBidi" w:cstheme="majorBidi"/>
          <w:sz w:val="18"/>
          <w:szCs w:val="18"/>
        </w:rPr>
        <w:t>,</w:t>
      </w:r>
      <w:r w:rsidRPr="00E61FEA">
        <w:rPr>
          <w:rFonts w:asciiTheme="majorBidi" w:hAnsiTheme="majorBidi" w:cstheme="majorBidi"/>
          <w:sz w:val="18"/>
          <w:szCs w:val="18"/>
        </w:rPr>
        <w:t xml:space="preserve"> based on industry membership, did not improve the accuracy, howeve</w:t>
      </w:r>
      <w:r w:rsidR="00FA1EB7" w:rsidRPr="00E61FEA">
        <w:rPr>
          <w:rFonts w:asciiTheme="majorBidi" w:hAnsiTheme="majorBidi" w:cstheme="majorBidi"/>
          <w:sz w:val="18"/>
          <w:szCs w:val="18"/>
        </w:rPr>
        <w:t>r it utilized more of the original companies (59%) and classified a larger number of the companies (29%).</w:t>
      </w:r>
    </w:p>
    <w:p w:rsidR="00920730" w:rsidRPr="00E61FEA" w:rsidRDefault="00920730" w:rsidP="00530BF5">
      <w:pPr>
        <w:rPr>
          <w:rFonts w:asciiTheme="majorBidi" w:hAnsiTheme="majorBidi" w:cstheme="majorBidi"/>
          <w:sz w:val="18"/>
          <w:szCs w:val="18"/>
        </w:rPr>
      </w:pPr>
      <w:r w:rsidRPr="00E61FEA">
        <w:rPr>
          <w:rFonts w:asciiTheme="majorBidi" w:hAnsiTheme="majorBidi" w:cstheme="majorBidi"/>
          <w:sz w:val="18"/>
          <w:szCs w:val="18"/>
        </w:rPr>
        <w:t xml:space="preserve">These results suggest that XBRL data with imputation </w:t>
      </w:r>
      <w:r w:rsidR="00FA1EB7" w:rsidRPr="00E61FEA">
        <w:rPr>
          <w:rFonts w:asciiTheme="majorBidi" w:hAnsiTheme="majorBidi" w:cstheme="majorBidi"/>
          <w:sz w:val="18"/>
          <w:szCs w:val="18"/>
        </w:rPr>
        <w:t xml:space="preserve">and industry dissemination </w:t>
      </w:r>
      <w:r w:rsidRPr="00E61FEA">
        <w:rPr>
          <w:rFonts w:asciiTheme="majorBidi" w:hAnsiTheme="majorBidi" w:cstheme="majorBidi"/>
          <w:sz w:val="18"/>
          <w:szCs w:val="18"/>
        </w:rPr>
        <w:t xml:space="preserve">can be used </w:t>
      </w:r>
      <w:r w:rsidR="00FA1EB7" w:rsidRPr="00E61FEA">
        <w:rPr>
          <w:rFonts w:asciiTheme="majorBidi" w:hAnsiTheme="majorBidi" w:cstheme="majorBidi"/>
          <w:sz w:val="18"/>
          <w:szCs w:val="18"/>
        </w:rPr>
        <w:t xml:space="preserve">to enhance its ability </w:t>
      </w:r>
      <w:r w:rsidRPr="00E61FEA">
        <w:rPr>
          <w:rFonts w:asciiTheme="majorBidi" w:hAnsiTheme="majorBidi" w:cstheme="majorBidi"/>
          <w:sz w:val="18"/>
          <w:szCs w:val="18"/>
        </w:rPr>
        <w:t xml:space="preserve">as a </w:t>
      </w:r>
      <w:r w:rsidR="00497931" w:rsidRPr="00E61FEA">
        <w:rPr>
          <w:rFonts w:asciiTheme="majorBidi" w:hAnsiTheme="majorBidi" w:cstheme="majorBidi"/>
          <w:sz w:val="18"/>
          <w:szCs w:val="18"/>
        </w:rPr>
        <w:t>financial statement analysis tool</w:t>
      </w:r>
      <w:r w:rsidRPr="00E61FEA">
        <w:rPr>
          <w:rFonts w:asciiTheme="majorBidi" w:hAnsiTheme="majorBidi" w:cstheme="majorBidi"/>
          <w:sz w:val="18"/>
          <w:szCs w:val="18"/>
        </w:rPr>
        <w:t>.</w:t>
      </w:r>
    </w:p>
    <w:p w:rsidR="005C3952" w:rsidRPr="00E61FEA" w:rsidRDefault="00A567FB" w:rsidP="00530BF5">
      <w:pPr>
        <w:rPr>
          <w:rFonts w:asciiTheme="majorBidi" w:hAnsiTheme="majorBidi" w:cstheme="majorBidi"/>
          <w:b/>
          <w:bCs/>
          <w:sz w:val="18"/>
          <w:szCs w:val="18"/>
        </w:rPr>
      </w:pPr>
      <w:r w:rsidRPr="00E61FEA">
        <w:rPr>
          <w:rFonts w:asciiTheme="majorBidi" w:hAnsiTheme="majorBidi" w:cstheme="majorBidi"/>
          <w:b/>
          <w:bCs/>
          <w:sz w:val="18"/>
          <w:szCs w:val="18"/>
        </w:rPr>
        <w:t xml:space="preserve"> </w:t>
      </w:r>
    </w:p>
    <w:p w:rsidR="00A567FB" w:rsidRPr="00E61FEA" w:rsidRDefault="00A567FB" w:rsidP="00530BF5">
      <w:pPr>
        <w:rPr>
          <w:rFonts w:asciiTheme="majorBidi" w:hAnsiTheme="majorBidi" w:cstheme="majorBidi"/>
          <w:sz w:val="18"/>
          <w:szCs w:val="18"/>
        </w:rPr>
      </w:pPr>
      <w:r w:rsidRPr="00E61FEA">
        <w:rPr>
          <w:rFonts w:asciiTheme="majorBidi" w:hAnsiTheme="majorBidi" w:cstheme="majorBidi"/>
          <w:i/>
          <w:iCs/>
          <w:sz w:val="18"/>
          <w:szCs w:val="18"/>
        </w:rPr>
        <w:t>Keywords</w:t>
      </w:r>
      <w:r w:rsidRPr="00E61FEA">
        <w:rPr>
          <w:rFonts w:asciiTheme="majorBidi" w:hAnsiTheme="majorBidi" w:cstheme="majorBidi"/>
          <w:b/>
          <w:bCs/>
          <w:sz w:val="18"/>
          <w:szCs w:val="18"/>
        </w:rPr>
        <w:t xml:space="preserve">: </w:t>
      </w:r>
      <w:r w:rsidR="00BD6656" w:rsidRPr="00E61FEA">
        <w:rPr>
          <w:rFonts w:asciiTheme="majorBidi" w:hAnsiTheme="majorBidi" w:cstheme="majorBidi"/>
          <w:sz w:val="18"/>
          <w:szCs w:val="18"/>
        </w:rPr>
        <w:t>A</w:t>
      </w:r>
      <w:r w:rsidRPr="00E61FEA">
        <w:rPr>
          <w:rFonts w:asciiTheme="majorBidi" w:hAnsiTheme="majorBidi" w:cstheme="majorBidi"/>
          <w:sz w:val="18"/>
          <w:szCs w:val="18"/>
        </w:rPr>
        <w:t xml:space="preserve">ccounting information, </w:t>
      </w:r>
      <w:r w:rsidR="00BD6656" w:rsidRPr="00E61FEA">
        <w:rPr>
          <w:rFonts w:asciiTheme="majorBidi" w:hAnsiTheme="majorBidi" w:cstheme="majorBidi"/>
          <w:sz w:val="18"/>
          <w:szCs w:val="18"/>
        </w:rPr>
        <w:t>E</w:t>
      </w:r>
      <w:r w:rsidRPr="00E61FEA">
        <w:rPr>
          <w:rFonts w:asciiTheme="majorBidi" w:hAnsiTheme="majorBidi" w:cstheme="majorBidi"/>
          <w:sz w:val="18"/>
          <w:szCs w:val="18"/>
        </w:rPr>
        <w:t xml:space="preserve">arnings prediction, </w:t>
      </w:r>
      <w:r w:rsidR="00BD6656" w:rsidRPr="00E61FEA">
        <w:rPr>
          <w:rFonts w:asciiTheme="majorBidi" w:hAnsiTheme="majorBidi" w:cstheme="majorBidi"/>
          <w:sz w:val="18"/>
          <w:szCs w:val="18"/>
        </w:rPr>
        <w:t>I</w:t>
      </w:r>
      <w:r w:rsidRPr="00E61FEA">
        <w:rPr>
          <w:rFonts w:asciiTheme="majorBidi" w:hAnsiTheme="majorBidi" w:cstheme="majorBidi"/>
          <w:sz w:val="18"/>
          <w:szCs w:val="18"/>
        </w:rPr>
        <w:t>nvestment strategy, XBRL</w:t>
      </w:r>
      <w:r w:rsidR="00920730" w:rsidRPr="00E61FEA">
        <w:rPr>
          <w:rFonts w:asciiTheme="majorBidi" w:hAnsiTheme="majorBidi" w:cstheme="majorBidi"/>
          <w:sz w:val="18"/>
          <w:szCs w:val="18"/>
        </w:rPr>
        <w:t xml:space="preserve">, </w:t>
      </w:r>
      <w:r w:rsidR="00BD6656" w:rsidRPr="00E61FEA">
        <w:rPr>
          <w:rFonts w:asciiTheme="majorBidi" w:hAnsiTheme="majorBidi" w:cstheme="majorBidi"/>
          <w:sz w:val="18"/>
          <w:szCs w:val="18"/>
        </w:rPr>
        <w:t>M</w:t>
      </w:r>
      <w:r w:rsidR="00920730" w:rsidRPr="00E61FEA">
        <w:rPr>
          <w:rFonts w:asciiTheme="majorBidi" w:hAnsiTheme="majorBidi" w:cstheme="majorBidi"/>
          <w:sz w:val="18"/>
          <w:szCs w:val="18"/>
        </w:rPr>
        <w:t>ultivariate imputation</w:t>
      </w:r>
      <w:r w:rsidR="00E61FEA">
        <w:rPr>
          <w:rFonts w:asciiTheme="majorBidi" w:hAnsiTheme="majorBidi" w:cstheme="majorBidi"/>
          <w:sz w:val="18"/>
          <w:szCs w:val="18"/>
        </w:rPr>
        <w:t>, Industry Analysis</w:t>
      </w:r>
    </w:p>
    <w:p w:rsidR="008B4FB6" w:rsidRDefault="008B4FB6" w:rsidP="00530BF5">
      <w:pPr>
        <w:rPr>
          <w:rFonts w:asciiTheme="majorBidi" w:hAnsiTheme="majorBidi" w:cstheme="majorBidi"/>
          <w:sz w:val="24"/>
          <w:szCs w:val="24"/>
        </w:rPr>
      </w:pPr>
    </w:p>
    <w:p w:rsidR="00C12154" w:rsidRDefault="00C12154" w:rsidP="00530BF5">
      <w:pPr>
        <w:rPr>
          <w:rFonts w:asciiTheme="majorBidi" w:hAnsiTheme="majorBidi" w:cstheme="majorBidi"/>
          <w:sz w:val="24"/>
          <w:szCs w:val="24"/>
        </w:rPr>
      </w:pPr>
    </w:p>
    <w:p w:rsidR="00C12154" w:rsidRPr="00254D61" w:rsidRDefault="00C12154" w:rsidP="00530BF5">
      <w:pPr>
        <w:rPr>
          <w:rFonts w:asciiTheme="majorBidi" w:hAnsiTheme="majorBidi" w:cstheme="majorBidi"/>
          <w:sz w:val="24"/>
          <w:szCs w:val="24"/>
        </w:rPr>
      </w:pPr>
    </w:p>
    <w:p w:rsidR="008B4FB6" w:rsidRPr="00254D61" w:rsidRDefault="008B4FB6" w:rsidP="00530BF5">
      <w:pPr>
        <w:rPr>
          <w:rFonts w:asciiTheme="majorBidi" w:hAnsiTheme="majorBidi" w:cstheme="majorBidi"/>
          <w:sz w:val="24"/>
          <w:szCs w:val="24"/>
        </w:rPr>
      </w:pPr>
    </w:p>
    <w:p w:rsidR="00A567FB" w:rsidRPr="00254D61" w:rsidRDefault="00A567FB" w:rsidP="00420450">
      <w:pPr>
        <w:pStyle w:val="1"/>
      </w:pPr>
      <w:r w:rsidRPr="00254D61">
        <w:t>INTRODUCTION</w:t>
      </w:r>
    </w:p>
    <w:p w:rsidR="007C3769" w:rsidRPr="00420450" w:rsidRDefault="007C3769" w:rsidP="00420450">
      <w:pPr>
        <w:pStyle w:val="a"/>
        <w:numPr>
          <w:ilvl w:val="0"/>
          <w:numId w:val="0"/>
        </w:numPr>
        <w:spacing w:after="0"/>
        <w:ind w:firstLineChars="200" w:firstLine="420"/>
        <w:contextualSpacing w:val="0"/>
        <w:rPr>
          <w:rFonts w:asciiTheme="majorBidi" w:hAnsiTheme="majorBidi" w:cstheme="majorBidi"/>
          <w:b w:val="0"/>
          <w:sz w:val="21"/>
          <w:szCs w:val="21"/>
        </w:rPr>
      </w:pPr>
      <w:r w:rsidRPr="00420450">
        <w:rPr>
          <w:rFonts w:asciiTheme="majorBidi" w:hAnsiTheme="majorBidi" w:cstheme="majorBidi"/>
          <w:b w:val="0"/>
          <w:sz w:val="21"/>
          <w:szCs w:val="21"/>
          <w:lang w:bidi="he-IL"/>
        </w:rPr>
        <w:t xml:space="preserve">The currently mandated SEC XBRL filing data provides immediate availability and easy accessibility for both academics and practitioners. For this data to be useful, it should provide </w:t>
      </w:r>
      <w:r w:rsidR="00856D0D" w:rsidRPr="00420450">
        <w:rPr>
          <w:rFonts w:asciiTheme="majorBidi" w:hAnsiTheme="majorBidi" w:cstheme="majorBidi"/>
          <w:b w:val="0"/>
          <w:sz w:val="21"/>
          <w:szCs w:val="21"/>
          <w:lang w:bidi="he-IL"/>
        </w:rPr>
        <w:t xml:space="preserve">quality </w:t>
      </w:r>
      <w:r w:rsidRPr="00420450">
        <w:rPr>
          <w:rFonts w:asciiTheme="majorBidi" w:hAnsiTheme="majorBidi" w:cstheme="majorBidi"/>
          <w:b w:val="0"/>
          <w:sz w:val="21"/>
          <w:szCs w:val="21"/>
          <w:lang w:bidi="he-IL"/>
        </w:rPr>
        <w:t>information for decisions, specifically, investment decisions. The objective of this study is to examine whether the XBRL database can be used with models, developed in previous studies</w:t>
      </w:r>
      <w:r w:rsidR="00D540AB">
        <w:rPr>
          <w:rFonts w:asciiTheme="majorBidi" w:hAnsiTheme="majorBidi" w:cstheme="majorBidi"/>
          <w:b w:val="0"/>
          <w:sz w:val="21"/>
          <w:szCs w:val="21"/>
          <w:lang w:bidi="he-IL"/>
        </w:rPr>
        <w:fldChar w:fldCharType="begin" w:fldLock="1"/>
      </w:r>
      <w:r w:rsidR="00D540AB">
        <w:rPr>
          <w:rFonts w:asciiTheme="majorBidi" w:hAnsiTheme="majorBidi" w:cstheme="majorBidi"/>
          <w:b w:val="0"/>
          <w:sz w:val="21"/>
          <w:szCs w:val="21"/>
          <w:lang w:bidi="he-IL"/>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"mendeley" : { "formattedCitation" : "(Ou &amp; Penman, 1989)", "plainTextFormattedCitation" : "(Ou &amp; Penman, 1989)", "previouslyFormattedCitation" : "(Ou &amp; Penman, 1989)" }, "properties" : {  }, "schema" : "https://github.com/citation-style-language/schema/raw/master/csl-citation.json" }</w:instrText>
      </w:r>
      <w:r w:rsidR="00D540AB">
        <w:rPr>
          <w:rFonts w:asciiTheme="majorBidi" w:hAnsiTheme="majorBidi" w:cstheme="majorBidi"/>
          <w:b w:val="0"/>
          <w:sz w:val="21"/>
          <w:szCs w:val="21"/>
          <w:lang w:bidi="he-IL"/>
        </w:rPr>
        <w:fldChar w:fldCharType="separate"/>
      </w:r>
      <w:r w:rsidR="00D540AB" w:rsidRPr="00D540AB">
        <w:rPr>
          <w:rFonts w:asciiTheme="majorBidi" w:hAnsiTheme="majorBidi" w:cstheme="majorBidi"/>
          <w:b w:val="0"/>
          <w:noProof/>
          <w:sz w:val="21"/>
          <w:szCs w:val="21"/>
          <w:lang w:bidi="he-IL"/>
        </w:rPr>
        <w:t>(</w:t>
      </w:r>
      <w:proofErr w:type="spellStart"/>
      <w:r w:rsidR="00D540AB" w:rsidRPr="00D540AB">
        <w:rPr>
          <w:rFonts w:asciiTheme="majorBidi" w:hAnsiTheme="majorBidi" w:cstheme="majorBidi"/>
          <w:b w:val="0"/>
          <w:noProof/>
          <w:sz w:val="21"/>
          <w:szCs w:val="21"/>
          <w:lang w:bidi="he-IL"/>
        </w:rPr>
        <w:t>Ou</w:t>
      </w:r>
      <w:proofErr w:type="spellEnd"/>
      <w:r w:rsidR="00D540AB" w:rsidRPr="00D540AB">
        <w:rPr>
          <w:rFonts w:asciiTheme="majorBidi" w:hAnsiTheme="majorBidi" w:cstheme="majorBidi"/>
          <w:b w:val="0"/>
          <w:noProof/>
          <w:sz w:val="21"/>
          <w:szCs w:val="21"/>
          <w:lang w:bidi="he-IL"/>
        </w:rPr>
        <w:t xml:space="preserve"> &amp; Penman, 1989)</w:t>
      </w:r>
      <w:r w:rsidR="00D540AB">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w:t>
      </w:r>
      <w:r w:rsidRPr="00420450">
        <w:rPr>
          <w:rFonts w:asciiTheme="majorBidi" w:hAnsiTheme="majorBidi" w:cstheme="majorBidi"/>
          <w:b w:val="0"/>
          <w:sz w:val="21"/>
          <w:szCs w:val="21"/>
          <w:rtl/>
        </w:rPr>
        <w:t xml:space="preserve"> </w:t>
      </w:r>
      <w:r w:rsidRPr="00420450">
        <w:rPr>
          <w:rFonts w:asciiTheme="majorBidi" w:hAnsiTheme="majorBidi" w:cstheme="majorBidi"/>
          <w:b w:val="0"/>
          <w:sz w:val="21"/>
          <w:szCs w:val="21"/>
          <w:lang w:bidi="he-IL"/>
        </w:rPr>
        <w:t>predicting the direction of movement of earnings. The study does not attempt to examine the validity of these models, only the ability to use the data in the analysis of financial statements based on these models, and how the data can be improved.</w:t>
      </w:r>
    </w:p>
    <w:p w:rsidR="00856D0D" w:rsidRDefault="00856D0D" w:rsidP="00420450">
      <w:pPr>
        <w:autoSpaceDE w:val="0"/>
        <w:autoSpaceDN w:val="0"/>
        <w:adjustRightInd w:val="0"/>
        <w:spacing w:after="0"/>
        <w:ind w:left="0" w:firstLineChars="200" w:firstLine="420"/>
        <w:rPr>
          <w:rFonts w:asciiTheme="majorBidi" w:hAnsiTheme="majorBidi" w:cstheme="majorBidi"/>
          <w:sz w:val="21"/>
          <w:szCs w:val="21"/>
          <w:shd w:val="clear" w:color="auto" w:fill="FFFFFF"/>
        </w:rPr>
      </w:pPr>
      <w:r w:rsidRPr="00420450">
        <w:rPr>
          <w:rFonts w:asciiTheme="majorBidi" w:hAnsiTheme="majorBidi" w:cstheme="majorBidi"/>
          <w:sz w:val="21"/>
          <w:szCs w:val="21"/>
        </w:rPr>
        <w:t xml:space="preserve">The quality of earnings information has been measured by its ability to predict future earnings based on past performance </w:t>
      </w:r>
      <w:r w:rsidRPr="00420450">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"10.2308/accr.2002.77.2.237", "ISBN" : "0001-4826", "ISSN" : "00014826", "PMID" : "6485329", "abstract" : "Quando uma empresa de pr\u00e1ticas cont\u00e1beis conservadoras, mudan\u00e7as no valor de seus investimentos pode afetar a qualidade de seus ganhos. O crescimento em investimento reduz lucros divulgados e cria reservas. A redu\u00e7\u00e3o de investimentos libera essas reservas, aumentando os lucros. Se a mudan\u00e7a de investimento \u00e9 tempor\u00e1rio, ent\u00e3o o sal\u00e1rio atual \u00e9 temporariamente deprimido ou inflado, e portanto, n\u00e3o \u00e9 um bom indicador de lucros futuros. Este estudo desenvolve diagn\u00f3stico medidas desse efeito conjunto de investimentos e de contabilidade conservadora. n\u00f3s achar que essas medidas prev\u00eaem diferen\u00e7as de retorno futuro sobre operacional l\u00edquida ativos relativos a corrente de retorno sobre os ativos operacionais l\u00edquidas. Al\u00e9m disso, estas medidas a\u00e7\u00f5es tamb\u00e9m previs\u00e3o de retornos-indicando que os investidores n\u00e3o apreciam como / conservadorismo e as mudan\u00e7as no investimento se combinam para levantar quest\u00f5es sobre a qualidade dos lucros reportados", "author" : [ { "dropping-particle" : "", "family" : "Penman", "given" : "Stephen H.", "non-dropping-particle" : "", "parse-names" : false, "suffix" : "" }, { "dropping-particle" : "", "family" : "Zhang", "given" : "Xiao Jun", "non-dropping-particle" : "", "parse-names" : false, "suffix" : "" } ], "container-title" : "Accounting Review", "id" : "ITEM-1", "issue" : "2", "issued" : { "date-parts" : [ [ "2002" ] ] }, "page" : "237-264", "title" : "Accounting conservatism, the quality of earnings, and stock returns", "type" : "article-journal", "volume" : "77" }, "uris" : [ "http://www.mendeley.com/documents/?uuid=a13b299f-8c59-4724-aa78-6735e382bf4a" ] } ], "mendeley" : { "formattedCitation" : "(Penman &amp; Zhang, 2002)", "plainTextFormattedCitation" : "(Penman &amp; Zhang, 2002)", "previouslyFormattedCitation" : "(Penman &amp; Zhang, 2002)" }, "properties" : {  }, "schema" : "https://github.com/citation-style-language/schema/raw/master/csl-citation.json" }</w:instrText>
      </w:r>
      <w:r w:rsidRPr="00420450">
        <w:rPr>
          <w:rFonts w:asciiTheme="majorBidi" w:hAnsiTheme="majorBidi" w:cstheme="majorBidi"/>
          <w:sz w:val="21"/>
          <w:szCs w:val="21"/>
        </w:rPr>
        <w:fldChar w:fldCharType="separate"/>
      </w:r>
      <w:r w:rsidRPr="00420450">
        <w:rPr>
          <w:rFonts w:asciiTheme="majorBidi" w:hAnsiTheme="majorBidi" w:cstheme="majorBidi"/>
          <w:noProof/>
          <w:sz w:val="21"/>
          <w:szCs w:val="21"/>
        </w:rPr>
        <w:t>(Penman &amp; Zhang, 2002)</w:t>
      </w:r>
      <w:r w:rsidRPr="00420450">
        <w:rPr>
          <w:rFonts w:asciiTheme="majorBidi" w:hAnsiTheme="majorBidi" w:cstheme="majorBidi"/>
          <w:sz w:val="21"/>
          <w:szCs w:val="21"/>
        </w:rPr>
        <w:fldChar w:fldCharType="end"/>
      </w:r>
      <w:r w:rsidRPr="00420450">
        <w:rPr>
          <w:rFonts w:asciiTheme="majorBidi" w:hAnsiTheme="majorBidi" w:cstheme="majorBidi"/>
          <w:sz w:val="21"/>
          <w:szCs w:val="21"/>
        </w:rPr>
        <w:t xml:space="preserve"> and while earnings announcements were found to provide only a modest amount of new information to the share market </w:t>
      </w:r>
      <w:r w:rsidRPr="00420450">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"10.1111/j.1475-679X.2008.00299.x", "ISBN" : "00218456", "ISSN" : "00218456", "PMID" : "34850173", "abstract" : "We quantify the relative importance of earnings announcements in providing new information to the share market, using the R2 in a regression of securities' calendar-year returns on their four quarterly earnings-announcement \u201cwindow\u201d returns. The R2, which averages approximately 5% to 9%, measures the proportion of total information incorporated in share prices annually that is associated with earnings announcements. We conclude that the average quarterly announcement is associated with approximately 1% to 2% of total annual information, thus providing a modest but not overwhelming amount of incremental information to the market. The results are consistent with the view that the primary economic role of reported earnings is not to provide timely new information to the share market. By inference, that role lies elsewhere, for example, in settling debt and compensation contracts and in disciplining prior information, including more timely managerial disclosures of information originating in the firm's accounting system. The relative informativeness of earnings announcements is a concave function of size. Increased information during earnings-announcement windows in recent years is due only in part to increased concurrent releases of management forecasts. There is no evidence of abnormal information arrival in the weeks surrounding earnings announcements. Substantial information is released in management forecasts and in analyst forecast revisions prior (but not subsequent) to earnings announcements. [ABSTRACT FROM AUTHOR]", "author" : [ { "dropping-particle" : "", "family" : "Ball", "given" : "Ray", "non-dropping-particle" : "", "parse-names" : false, "suffix" : "" }, { "dropping-particle" : "", "family" : "Shivakumar", "given" : "Lakshmanan", "non-dropping-particle" : "", "parse-names" : false, "suffix" : "" } ], "container-title" : "Journal of Accounting Research", "id" : "ITEM-1", "issue" : "5", "issued" : { "date-parts" : [ [ "2008" ] ] }, "page" : "975-1016", "title" : "How much new information is there in earnings?", "type" : "article-journal", "volume" : "46" }, "uris" : [ "http://www.mendeley.com/documents/?uuid=44de152d-83eb-42e6-bf51-8a623d67df85" ] } ], "mendeley" : { "formattedCitation" : "(Ball &amp; Shivakumar, 2008)", "plainTextFormattedCitation" : "(Ball &amp; Shivakumar, 2008)", "previouslyFormattedCitation" : "(Ball &amp; Shivakumar, 2008)" }, "properties" : {  }, "schema" : "https://github.com/citation-style-language/schema/raw/master/csl-citation.json" }</w:instrText>
      </w:r>
      <w:r w:rsidRPr="00420450">
        <w:rPr>
          <w:rFonts w:asciiTheme="majorBidi" w:hAnsiTheme="majorBidi" w:cstheme="majorBidi"/>
          <w:sz w:val="21"/>
          <w:szCs w:val="21"/>
        </w:rPr>
        <w:fldChar w:fldCharType="separate"/>
      </w:r>
      <w:r w:rsidRPr="00420450">
        <w:rPr>
          <w:rFonts w:asciiTheme="majorBidi" w:hAnsiTheme="majorBidi" w:cstheme="majorBidi"/>
          <w:noProof/>
          <w:sz w:val="21"/>
          <w:szCs w:val="21"/>
        </w:rPr>
        <w:t>(Ball &amp; Shivakumar, 2008)</w:t>
      </w:r>
      <w:r w:rsidRPr="00420450">
        <w:rPr>
          <w:rFonts w:asciiTheme="majorBidi" w:hAnsiTheme="majorBidi" w:cstheme="majorBidi"/>
          <w:sz w:val="21"/>
          <w:szCs w:val="21"/>
        </w:rPr>
        <w:fldChar w:fldCharType="end"/>
      </w:r>
      <w:r w:rsidRPr="00420450">
        <w:rPr>
          <w:rFonts w:asciiTheme="majorBidi" w:hAnsiTheme="majorBidi" w:cstheme="majorBidi"/>
          <w:sz w:val="21"/>
          <w:szCs w:val="21"/>
        </w:rPr>
        <w:t xml:space="preserve">, studies show that investors </w:t>
      </w:r>
      <w:r w:rsidRPr="00420450">
        <w:rPr>
          <w:rFonts w:asciiTheme="majorBidi" w:hAnsiTheme="majorBidi" w:cstheme="majorBidi"/>
          <w:sz w:val="21"/>
          <w:szCs w:val="21"/>
          <w:shd w:val="clear" w:color="auto" w:fill="FFFFFF"/>
        </w:rPr>
        <w:t xml:space="preserve">over rely on past </w:t>
      </w:r>
      <w:r w:rsidRPr="00420450">
        <w:rPr>
          <w:rStyle w:val="hit"/>
          <w:rFonts w:asciiTheme="majorBidi" w:hAnsiTheme="majorBidi" w:cstheme="majorBidi"/>
          <w:sz w:val="21"/>
          <w:szCs w:val="21"/>
        </w:rPr>
        <w:t>earnings</w:t>
      </w:r>
      <w:r w:rsidRPr="00420450">
        <w:rPr>
          <w:rStyle w:val="apple-converted-space"/>
          <w:rFonts w:asciiTheme="majorBidi" w:hAnsiTheme="majorBidi" w:cstheme="majorBidi"/>
          <w:sz w:val="21"/>
          <w:szCs w:val="21"/>
        </w:rPr>
        <w:t> </w:t>
      </w:r>
      <w:r w:rsidRPr="00420450">
        <w:rPr>
          <w:rFonts w:asciiTheme="majorBidi" w:hAnsiTheme="majorBidi" w:cstheme="majorBidi"/>
          <w:sz w:val="21"/>
          <w:szCs w:val="21"/>
        </w:rPr>
        <w:t>p</w:t>
      </w:r>
      <w:r w:rsidRPr="00420450">
        <w:rPr>
          <w:rFonts w:asciiTheme="majorBidi" w:hAnsiTheme="majorBidi" w:cstheme="majorBidi"/>
          <w:sz w:val="21"/>
          <w:szCs w:val="21"/>
          <w:shd w:val="clear" w:color="auto" w:fill="FFFFFF"/>
        </w:rPr>
        <w:t>erformance when predicting future</w:t>
      </w:r>
      <w:r w:rsidRPr="00420450">
        <w:rPr>
          <w:rStyle w:val="apple-converted-space"/>
          <w:rFonts w:asciiTheme="majorBidi" w:hAnsiTheme="majorBidi" w:cstheme="majorBidi"/>
          <w:sz w:val="21"/>
          <w:szCs w:val="21"/>
          <w:shd w:val="clear" w:color="auto" w:fill="FFFFFF"/>
        </w:rPr>
        <w:t> </w:t>
      </w:r>
      <w:r w:rsidRPr="00420450">
        <w:rPr>
          <w:rStyle w:val="hit"/>
          <w:rFonts w:asciiTheme="majorBidi" w:hAnsiTheme="majorBidi" w:cstheme="majorBidi"/>
          <w:sz w:val="21"/>
          <w:szCs w:val="21"/>
        </w:rPr>
        <w:t>earnings</w:t>
      </w:r>
      <w:r w:rsidRPr="00420450">
        <w:rPr>
          <w:rStyle w:val="apple-converted-space"/>
          <w:rFonts w:asciiTheme="majorBidi" w:hAnsiTheme="majorBidi" w:cstheme="majorBidi"/>
          <w:sz w:val="21"/>
          <w:szCs w:val="21"/>
          <w:shd w:val="clear" w:color="auto" w:fill="FFFFFF"/>
        </w:rPr>
        <w:t> </w:t>
      </w:r>
      <w:r w:rsidRPr="00420450">
        <w:rPr>
          <w:rFonts w:asciiTheme="majorBidi" w:hAnsiTheme="majorBidi" w:cstheme="majorBidi"/>
          <w:sz w:val="21"/>
          <w:szCs w:val="21"/>
          <w:shd w:val="clear" w:color="auto" w:fill="FFFFFF"/>
        </w:rPr>
        <w:t xml:space="preserve">performance </w:t>
      </w:r>
      <w:r w:rsidRPr="00420450">
        <w:rPr>
          <w:rFonts w:asciiTheme="majorBidi" w:hAnsiTheme="majorBidi" w:cstheme="majorBidi"/>
          <w:sz w:val="21"/>
          <w:szCs w:val="21"/>
          <w:shd w:val="clear" w:color="auto" w:fill="FFFFFF"/>
        </w:rPr>
        <w:fldChar w:fldCharType="begin" w:fldLock="1"/>
      </w:r>
      <w:r w:rsidR="007A0C89">
        <w:rPr>
          <w:rFonts w:asciiTheme="majorBidi" w:hAnsiTheme="majorBidi" w:cstheme="majorBidi"/>
          <w:sz w:val="21"/>
          <w:szCs w:val="21"/>
          <w:shd w:val="clear" w:color="auto" w:fill="FFFFFF"/>
        </w:rPr>
        <w:instrText>ADDIN CSL_CITATION { "citationItems" : [ { "id" : "ITEM-1", "itemData" : { "DOI" : "10.1506/N8T8-9QR7-YUCX-91X2", "ISBN" : "08239150", "ISSN" : "0823-9150", "abstract" : "This paper reports an experiment demonstrating that MBA students overrely on old earnings performance when predicting future earnings performance in a laboratory setting. In the experiment, MBA students relied too heavily on old annual ROE information to predict future annual ROE. The experiment shows how a common cognitive error (overreliance on unreliable information) interacts with the structure of the earnings time series to create particular patterns of prediction errors. The results also suggest directions for research on two well-known anomalies, long-run overreactions (De Bondt and Thaler 1985, 1987) and post- earnings-announcement drift (Bernard and Thomas 1990).", "author" : [ { "dropping-particle" : "", "family" : "Bloomfield", "given" : "Robert J", "non-dropping-particle" : "", "parse-names" : false, "suffix" : "" }, { "dropping-particle" : "", "family" : "Libby", "given" : "Robert", "non-dropping-particle" : "", "parse-names" : false, "suffix" : "" }, { "dropping-particle" : "", "family" : "Nelson", "given" : "Mark W", "non-dropping-particle" : "", "parse-names" : false, "suffix" : "" } ], "container-title" : "Contemporary Accounting Research", "id" : "ITEM-1", "issue" : "1", "issued" : { "date-parts" : [ [ "2003" ] ] }, "page" : "1-31", "title" : "Do Investors Overrely on Old Elements of the Earnings Time Series?", "type" : "article-journal", "volume" : "20" }, "uris" : [ "http://www.mendeley.com/documents/?uuid=e04c45ea-dcc7-4133-9610-2a9f47fd422d" ] } ], "mendeley" : { "formattedCitation" : "(Bloomfield, Libby, &amp; Nelson, 2003)", "plainTextFormattedCitation" : "(Bloomfield, Libby, &amp; Nelson, 2003)", "previouslyFormattedCitation" : "(Bloomfield, Libby, &amp; Nelson, 2003)" }, "properties" : {  }, "schema" : "https://github.com/citation-style-language/schema/raw/master/csl-citation.json" }</w:instrText>
      </w:r>
      <w:r w:rsidRPr="00420450">
        <w:rPr>
          <w:rFonts w:asciiTheme="majorBidi" w:hAnsiTheme="majorBidi" w:cstheme="majorBidi"/>
          <w:sz w:val="21"/>
          <w:szCs w:val="21"/>
          <w:shd w:val="clear" w:color="auto" w:fill="FFFFFF"/>
        </w:rPr>
        <w:fldChar w:fldCharType="separate"/>
      </w:r>
      <w:r w:rsidRPr="00420450">
        <w:rPr>
          <w:rFonts w:asciiTheme="majorBidi" w:hAnsiTheme="majorBidi" w:cstheme="majorBidi"/>
          <w:noProof/>
          <w:sz w:val="21"/>
          <w:szCs w:val="21"/>
          <w:shd w:val="clear" w:color="auto" w:fill="FFFFFF"/>
        </w:rPr>
        <w:t>(Bloomfield, Libby, &amp; Nelson, 2003)</w:t>
      </w:r>
      <w:r w:rsidRPr="00420450">
        <w:rPr>
          <w:rFonts w:asciiTheme="majorBidi" w:hAnsiTheme="majorBidi" w:cstheme="majorBidi"/>
          <w:sz w:val="21"/>
          <w:szCs w:val="21"/>
          <w:shd w:val="clear" w:color="auto" w:fill="FFFFFF"/>
        </w:rPr>
        <w:fldChar w:fldCharType="end"/>
      </w:r>
      <w:r w:rsidRPr="00420450">
        <w:rPr>
          <w:rFonts w:asciiTheme="majorBidi" w:hAnsiTheme="majorBidi" w:cstheme="majorBidi"/>
          <w:sz w:val="21"/>
          <w:szCs w:val="21"/>
          <w:shd w:val="clear" w:color="auto" w:fill="FFFFFF"/>
        </w:rPr>
        <w:t>.</w:t>
      </w:r>
    </w:p>
    <w:p w:rsidR="00DA4A2A" w:rsidRPr="00420450" w:rsidRDefault="00DA4A2A" w:rsidP="00DA4A2A">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XBRL (eXtensible Business Reporting Language) is a freely available and global standard for exchanging business information. XBRL allows the expression of </w:t>
      </w:r>
      <w:hyperlink r:id="rId6" w:anchor="Computer_science" w:tooltip="Semantics" w:history="1">
        <w:r w:rsidRPr="00420450">
          <w:rPr>
            <w:rFonts w:asciiTheme="majorBidi" w:hAnsiTheme="majorBidi" w:cstheme="majorBidi"/>
            <w:sz w:val="21"/>
            <w:szCs w:val="21"/>
          </w:rPr>
          <w:t>semantic meaning</w:t>
        </w:r>
      </w:hyperlink>
      <w:r w:rsidRPr="00420450">
        <w:rPr>
          <w:rFonts w:asciiTheme="majorBidi" w:hAnsiTheme="majorBidi" w:cstheme="majorBidi"/>
          <w:sz w:val="21"/>
          <w:szCs w:val="21"/>
        </w:rPr>
        <w:t> commonly required in </w:t>
      </w:r>
      <w:hyperlink r:id="rId7" w:tooltip="Business reporting" w:history="1">
        <w:r w:rsidRPr="00420450">
          <w:rPr>
            <w:rFonts w:asciiTheme="majorBidi" w:hAnsiTheme="majorBidi" w:cstheme="majorBidi"/>
            <w:sz w:val="21"/>
            <w:szCs w:val="21"/>
          </w:rPr>
          <w:t>business reporting</w:t>
        </w:r>
      </w:hyperlink>
      <w:r w:rsidRPr="00420450">
        <w:rPr>
          <w:rFonts w:asciiTheme="majorBidi" w:hAnsiTheme="majorBidi" w:cstheme="majorBidi"/>
          <w:sz w:val="21"/>
          <w:szCs w:val="21"/>
        </w:rPr>
        <w:t xml:space="preserve">. One use of XBRL is to define and exchange financial information, such as financial statements. </w:t>
      </w:r>
    </w:p>
    <w:p w:rsidR="00DA4A2A" w:rsidRPr="00420450" w:rsidRDefault="00DA4A2A" w:rsidP="00DA4A2A">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 xml:space="preserve">The SEC has created the XBRL U.S. GAAP Financial Reporting Taxonomy. This taxonomy is a collection of accounting data concepts and rules that enables companies to present their financial reports electronically. </w:t>
      </w:r>
      <w:r w:rsidRPr="00420450">
        <w:rPr>
          <w:rFonts w:asciiTheme="majorBidi" w:hAnsiTheme="majorBidi" w:cstheme="majorBidi"/>
          <w:color w:val="252525"/>
          <w:sz w:val="21"/>
          <w:szCs w:val="21"/>
          <w:shd w:val="clear" w:color="auto" w:fill="FFFFFF"/>
        </w:rPr>
        <w:t>The SEC's deployment was launched in 2008 in phases,</w:t>
      </w:r>
      <w:r w:rsidRPr="00420450">
        <w:rPr>
          <w:rFonts w:asciiTheme="majorBidi" w:hAnsiTheme="majorBidi" w:cstheme="majorBidi"/>
          <w:sz w:val="21"/>
          <w:szCs w:val="21"/>
        </w:rPr>
        <w:t xml:space="preserve"> and all public U.S. GAAP companies were required to file their financial reports using the XBRL reporting technology starting from June 15, 2011. </w:t>
      </w:r>
    </w:p>
    <w:p w:rsidR="00DA4A2A" w:rsidRPr="00420450" w:rsidRDefault="00DA4A2A" w:rsidP="00DA4A2A">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 xml:space="preserve">XBRL has several advantages over COMPUSTAT, which has been a popular source of financial information for both academics and practitioners. Among XBRL data advantages are the fact that it is freely available while COMPUSTAT is costly. XBRL filings also have a time advantage, it takes an average of 14 weekdays from the time a company files with the SEC for that data to appear in COMPUSTAT </w:t>
      </w:r>
      <w:r w:rsidRPr="00420450">
        <w:rPr>
          <w:rFonts w:asciiTheme="majorBidi" w:hAnsiTheme="majorBidi" w:cstheme="majorBidi"/>
          <w:sz w:val="21"/>
          <w:szCs w:val="21"/>
        </w:rPr>
        <w:fldChar w:fldCharType="begin" w:fldLock="1"/>
      </w:r>
      <w:r>
        <w:rPr>
          <w:rFonts w:asciiTheme="majorBidi" w:hAnsiTheme="majorBidi" w:cstheme="majorBidi"/>
          <w:sz w:val="21"/>
          <w:szCs w:val="21"/>
        </w:rPr>
        <w:instrText>ADDIN CSL_CITATION { "citationItems" : [ { "id" : "ITEM-1", "itemData" : { "DOI" : "10.2308/accr.2010.85.1.159", "ISBN" : "00014826", "ISSN" : "00014826", "PMID" : "47187690", "abstract" : "This study examines the interdependence between institutional ownership and the speed with which Standard &amp; Poor's disseminates corporate accounting information. From the demand-side perspective, we find that quasi-indexers, who rely on corporate accounting information as a low-cost monitoring system, are the key driver of the institutional demand for speedy information dissemination. In addition, dissemination speed increases substantially for stocks listed in major market indices but decreases with high arbitrage risk or transaction costs. From the consequences perspective, we find that both transient investors and quasi-indexers gravitate to stocks with faster information dissemination, consistent with the latter using accounting information as a low-cost performance-monitoring mechanism, and the former being better enabled to implement their trading strategies in a richer information environment. Overall, this study provides new insights into the capital market information infrastructure by examining how information intermediaries and sophisticated investors impact each others' resource allocation decisions. [PUBLICATION ABSTRACT]", "author" : [ { "dropping-particle" : "", "family" : "D'Souza", "given" : "Julia M.", "non-dropping-particle" : "", "parse-names" : false, "suffix" : "" }, { "dropping-particle" : "", "family" : "Ramesh", "given" : "K.", "non-dropping-particle" : "", "parse-names" : false, "suffix" : "" }, { "dropping-particle" : "", "family" : "Shen", "given" : "Min", "non-dropping-particle" : "", "parse-names" : false, "suffix" : "" } ], "container-title" : "Accounting Review", "id" : "ITEM-1", "issue" : "1", "issued" : { "date-parts" : [ [ "2010" ] ] }, "page" : "159-193", "title" : "The interdependence between institutional ownership and information dissemination by data aggregators", "type" : "article", "volume" : "85" }, "uris" : [ "http://www.mendeley.com/documents/?uuid=ecab12c1-224d-42be-8b2c-514ed56a1e09" ] } ], "mendeley" : { "formattedCitation" : "(D\u2019Souza, Ramesh, &amp; Shen, 2010)", "plainTextFormattedCitation" : "(D\u2019Souza, Ramesh, &amp; Shen, 2010)", "previouslyFormattedCitation" : "(D\u2019Souza, Ramesh, &amp; Shen, 2010)" }, "properties" : {  }, "schema" : "https://github.com/citation-style-language/schema/raw/master/csl-citation.json" }</w:instrText>
      </w:r>
      <w:r w:rsidRPr="00420450">
        <w:rPr>
          <w:rFonts w:asciiTheme="majorBidi" w:hAnsiTheme="majorBidi" w:cstheme="majorBidi"/>
          <w:sz w:val="21"/>
          <w:szCs w:val="21"/>
        </w:rPr>
        <w:fldChar w:fldCharType="separate"/>
      </w:r>
      <w:r w:rsidRPr="00420450">
        <w:rPr>
          <w:rFonts w:asciiTheme="majorBidi" w:hAnsiTheme="majorBidi" w:cstheme="majorBidi"/>
          <w:noProof/>
          <w:sz w:val="21"/>
          <w:szCs w:val="21"/>
        </w:rPr>
        <w:t>(D’Souza, Ramesh, &amp; Shen, 2010)</w:t>
      </w:r>
      <w:r w:rsidRPr="00420450">
        <w:rPr>
          <w:rFonts w:asciiTheme="majorBidi" w:hAnsiTheme="majorBidi" w:cstheme="majorBidi"/>
          <w:sz w:val="21"/>
          <w:szCs w:val="21"/>
        </w:rPr>
        <w:fldChar w:fldCharType="end"/>
      </w:r>
      <w:r w:rsidRPr="00420450">
        <w:rPr>
          <w:rFonts w:asciiTheme="majorBidi" w:hAnsiTheme="majorBidi" w:cstheme="majorBidi"/>
          <w:sz w:val="21"/>
          <w:szCs w:val="21"/>
        </w:rPr>
        <w:t>, while XBR</w:t>
      </w:r>
      <w:r w:rsidR="00A77759">
        <w:rPr>
          <w:rFonts w:asciiTheme="majorBidi" w:hAnsiTheme="majorBidi" w:cstheme="majorBidi"/>
          <w:sz w:val="21"/>
          <w:szCs w:val="21"/>
        </w:rPr>
        <w:t>L</w:t>
      </w:r>
      <w:r w:rsidRPr="00420450">
        <w:rPr>
          <w:rFonts w:asciiTheme="majorBidi" w:hAnsiTheme="majorBidi" w:cstheme="majorBidi"/>
          <w:sz w:val="21"/>
          <w:szCs w:val="21"/>
        </w:rPr>
        <w:t xml:space="preserve"> data is published concurrently with the related PDF versions, and is immediately available. In addition, the reliability of COMPUSTAT has also been questioned, prior studies have shown that COMPUSTAT data may differ from the original corporate financial </w:t>
      </w:r>
      <w:r w:rsidRPr="00420450">
        <w:rPr>
          <w:rFonts w:asciiTheme="majorBidi" w:hAnsiTheme="majorBidi" w:cstheme="majorBidi"/>
          <w:sz w:val="21"/>
          <w:szCs w:val="21"/>
        </w:rPr>
        <w:fldChar w:fldCharType="begin" w:fldLock="1"/>
      </w:r>
      <w:r>
        <w:rPr>
          <w:rFonts w:asciiTheme="majorBidi" w:hAnsiTheme="majorBidi" w:cstheme="majorBidi"/>
          <w:sz w:val="21"/>
          <w:szCs w:val="21"/>
        </w:rPr>
        <w:instrText>ADDIN CSL_CITATION { "citationItems" : [ { "id" : "ITEM-1", "itemData" : { "ISSN" : "00014826", "abstract" : "The purpose of this paper is to report on the findings from a study that compared the research and development information in COMPUSTAT with the information contained in Form 10-K reports to the Securities and Exchange Commission. The comparisons indicated that numerous, and sometimes significant, inaccuracies existed between the two widely used sources of financial information. Also, in a number of cases, the information disclosed in 10-K reports was deficient in explaining the differences. Although this investigation was limited to a specific item of financial data for a single period, there are a number of implications for researchers planning to make use of computerized data bases and for those responsible for evaluating their research. To overcome the potential errors in financial information gathered for research purposes, several recommendations are discussed.", "author" : [ { "dropping-particle" : "", "family" : "Miguel", "given" : "Joseph G San", "non-dropping-particle" : "", "parse-names" : false, "suffix" : "" } ], "container-title" : "The Accounting Review", "id" : "ITEM-1", "issue" : "3", "issued" : { "date-parts" : [ [ "1977" ] ] }, "page" : "638-641", "title" : "The Reliability of R&amp;D Data in COMPUSTAT and 10-K Reports", "type" : "article-journal", "volume" : "52" }, "uris" : [ "http://www.mendeley.com/documents/?uuid=4acbebb9-b75a-48fd-ac17-7dd5cc0cf7c9" ] }, { "id" : "ITEM-2", "itemData" : { "ISSN" : "01989073", "abstract" : "The accuracy of the amounts reported by Standard &amp; Poor's Compustat Services, Inc. (COMPUSTAT) in 19 tax fields is examined. The error rate varies widely, although it is generally higher for items reported in the footnotes than for items reported on the income statement or balance sheet. The error rates are higher for utilities and when special items are reported on the income statement below income from continuing operations. These special items include the use of an NOL carryforward, discontinued operations, cumulative adjustments, and extraordinary items. In addition to errors, researchers should be aware of COMPUSTAT's coding policies. Under some circumstances (as discussed in the paper), a field may indicate an amount is missing when an amount is reported in the financial statements. This is particularly true for the breakdown of current and deferred taxes into federal, state, and foreign components. The usefulness of the NOL carryforward field is also limited by COMPUSTAT's coding policies and errors. [ABSTRACT FROM AUTHOR]", "author" : [ { "dropping-particle" : "", "family" : "Kinney", "given" : "Michael R", "non-dropping-particle" : "", "parse-names" : false, "suffix" : "" }, { "dropping-particle" : "", "family" : "Swanson", "given" : "Edward P", "non-dropping-particle" : "", "parse-names" : false, "suffix" : "" } ], "container-title" : "Journal of the American Taxation Association", "id" : "ITEM-2", "issue" : "1", "issued" : { "date-parts" : [ [ "1993" ] ] }, "page" : "121", "title" : "The Accuracy and Adequacy of Tax Data in COMPUSTAT.", "type" : "article-journal", "volume" : "15" }, "uris" : [ "http://www.mendeley.com/documents/?uuid=1bba73d9-7745-472d-a1a4-9a526a71848d" ] }, { "id" : "ITEM-3", "itemData" : { "ISSN" : "1534-665X", "abstract" : "Until EDGAR Online began operational, Compustat was (arguably) the only provider of financial statement information with accompanying database development capabilities. While EDGAR Online has received relatively little attention in the literature to date, we posit that the use of Edgar Online could flourish given the recent XBRL (eXtensible Business Reporting Language) reporting mandate of the SEC (Securities and Exchange Commission). In this regard, we identify the differences between Compustat and EDGAR Online in terms of data presentation as well as database development capabilities and product pricing. Our results suggest that differences exist between data presentation, database development capabilities as well as product pricing. In turn, we believe that such differences may facilitate EDGAR Online's competitive position with respect to Compustat. [PUBLICATION ABSTRACT]", "author" : [ { "dropping-particle" : "", "family" : "Tallapally", "given" : "Pavani", "non-dropping-particle" : "", "parse-names" : false, "suffix" : "" }, { "dropping-particle" : "", "family" : "Luehlfing", "given" : "Michael S", "non-dropping-particle" : "", "parse-names" : false, "suffix" : "" }, { "dropping-particle" : "", "family" : "Motha", "given" : "Madhu", "non-dropping-particle" : "", "parse-names" : false, "suffix" : "" } ], "container-title" : "The Review of Business Information Systems", "id" : "ITEM-3", "issued" : { "date-parts" : [ [ "2011" ] ] }, "page" : "39-46", "title" : "The Partnership Of EDGAR Online And XBRL - Should Compustat Care?", "type" : "article-journal", "volume" : "15" }, "uris" : [ "http://www.mendeley.com/documents/?uuid=3678c646-dd78-4e03-a2f7-763e582afe6c" ] } ], "mendeley" : { "formattedCitation" : "(Kinney &amp; Swanson, 1993; Miguel, 1977; Tallapally, Luehlfing, &amp; Motha, 2011)", "plainTextFormattedCitation" : "(Kinney &amp; Swanson, 1993; Miguel, 1977; Tallapally, Luehlfing, &amp; Motha, 2011)", "previouslyFormattedCitation" : "(Kinney &amp; Swanson, 1993; Miguel, 1977; Tallapally, Luehlfing, &amp; Motha, 2011)" }, "properties" : {  }, "schema" : "https://github.com/citation-style-language/schema/raw/master/csl-citation.json" }</w:instrText>
      </w:r>
      <w:r w:rsidRPr="00420450">
        <w:rPr>
          <w:rFonts w:asciiTheme="majorBidi" w:hAnsiTheme="majorBidi" w:cstheme="majorBidi"/>
          <w:sz w:val="21"/>
          <w:szCs w:val="21"/>
        </w:rPr>
        <w:fldChar w:fldCharType="separate"/>
      </w:r>
      <w:r w:rsidRPr="00420450">
        <w:rPr>
          <w:rFonts w:asciiTheme="majorBidi" w:hAnsiTheme="majorBidi" w:cstheme="majorBidi"/>
          <w:noProof/>
          <w:sz w:val="21"/>
          <w:szCs w:val="21"/>
        </w:rPr>
        <w:t>(Kinney &amp; Swanson, 1993; Miguel, 1977; Tallapally, Luehlfing, &amp; Motha, 2011)</w:t>
      </w:r>
      <w:r w:rsidRPr="00420450">
        <w:rPr>
          <w:rFonts w:asciiTheme="majorBidi" w:hAnsiTheme="majorBidi" w:cstheme="majorBidi"/>
          <w:sz w:val="21"/>
          <w:szCs w:val="21"/>
        </w:rPr>
        <w:fldChar w:fldCharType="end"/>
      </w:r>
      <w:r w:rsidRPr="00420450">
        <w:rPr>
          <w:rFonts w:asciiTheme="majorBidi" w:hAnsiTheme="majorBidi" w:cstheme="majorBidi"/>
          <w:sz w:val="21"/>
          <w:szCs w:val="21"/>
        </w:rPr>
        <w:t xml:space="preserve"> and data found in other accounting databases </w:t>
      </w:r>
      <w:r w:rsidRPr="00420450">
        <w:rPr>
          <w:rFonts w:asciiTheme="majorBidi" w:hAnsiTheme="majorBidi" w:cstheme="majorBidi"/>
          <w:sz w:val="21"/>
          <w:szCs w:val="21"/>
        </w:rPr>
        <w:fldChar w:fldCharType="begin" w:fldLock="1"/>
      </w:r>
      <w:r>
        <w:rPr>
          <w:rFonts w:asciiTheme="majorBidi" w:hAnsiTheme="majorBidi" w:cstheme="majorBidi"/>
          <w:sz w:val="21"/>
          <w:szCs w:val="21"/>
        </w:rPr>
        <w:instrText>ADDIN CSL_CITATION { "citationItems" : [ { "id" : "ITEM-1", "itemData" : { "DOI" : "10.1111/j.1540-6261.1974.tb03107.x", "ISSN" : "15406261", "abstract" : "The presence of erroneous data can destroy a research effort and seriously damage the management decisions based upon research. A comparison of monthly price relatives for NYSE listed stocks available on both Center for Research in Security Prices (CRSP) and Investors Management Sciences COMPUSTAT data bases show that large errors are relatively infrequent. Nevertheless, there are a few large errors in both data bases, and these few errors are sufficient to change sharply the apparent nature of the data. The results suggest some cautions that should be observed in using these data. Per- haps more importantly, the method employed in this article could be institu- tionalized as a means of quality control for competing data bases, thereby virtually assuring a great improvement in the reliability of data available to the general user. II.", "author" : [ { "dropping-particle" : "", "family" : "Rosenberg", "given" : "Barr", "non-dropping-particle" : "", "parse-names" : false, "suffix" : "" }, { "dropping-particle" : "", "family" : "Houglet", "given" : "Michel", "non-dropping-particle" : "", "parse-names" : false, "suffix" : "" } ], "container-title" : "The Journal of Finance", "id" : "ITEM-1", "issue" : "4", "issued" : { "date-parts" : [ [ "1974" ] ] }, "page" : "1303-1310", "title" : "ERROR RATES IN CRSP AND COMPUSTAT DATA BASES AND THEIR IMPLICATIONS", "type" : "article-journal", "volume" : "29" }, "uris" : [ "http://www.mendeley.com/documents/?uuid=b0178d1a-02d2-4ac9-8292-d814d788a9b4" ] }, { "id" : "ITEM-2", "itemData" : { "DOI" : "10.1108/02635570310465689", "ISSN" : "0263-5577", "author" : [ { "dropping-particle" : "", "family" : "Yang", "given" : "David C.", "non-dropping-particle" : "", "parse-names" : false, "suffix" : "" }, { "dropping-particle" : "", "family" : "Vasarhelyi", "given" : "Miklos a.", "non-dropping-particle" : "", "parse-names" : false, "suffix" : "" }, { "dropping-particle" : "", "family" : "Liu", "given" : "Caixing", "non-dropping-particle" : "", "parse-names" : false, "suffix" : "" } ], "container-title" : "Industrial Management &amp; Data Systems", "id" : "ITEM-2", "issue" : "3", "issued" : { "date-parts" : [ [ "2003" ] ] }, "page" : "204-210", "title" : "A note on the using of accounting databases", "type" : "article-journal", "volume" : "103" }, "uris" : [ "http://www.mendeley.com/documents/?uuid=eb0dbbc3-c9ae-4f4a-8ccb-584f23df82b3" ] } ], "mendeley" : { "formattedCitation" : "(Rosenberg &amp; Houglet, 1974; Yang, Vasarhelyi, &amp; Liu, 2003)", "plainTextFormattedCitation" : "(Rosenberg &amp; Houglet, 1974; Yang, Vasarhelyi, &amp; Liu, 2003)", "previouslyFormattedCitation" : "(Rosenberg &amp; Houglet, 1974; Yang, Vasarhelyi, &amp; Liu, 2003)" }, "properties" : {  }, "schema" : "https://github.com/citation-style-language/schema/raw/master/csl-citation.json" }</w:instrText>
      </w:r>
      <w:r w:rsidRPr="00420450">
        <w:rPr>
          <w:rFonts w:asciiTheme="majorBidi" w:hAnsiTheme="majorBidi" w:cstheme="majorBidi"/>
          <w:sz w:val="21"/>
          <w:szCs w:val="21"/>
        </w:rPr>
        <w:fldChar w:fldCharType="separate"/>
      </w:r>
      <w:r w:rsidRPr="00420450">
        <w:rPr>
          <w:rFonts w:asciiTheme="majorBidi" w:hAnsiTheme="majorBidi" w:cstheme="majorBidi"/>
          <w:noProof/>
          <w:sz w:val="21"/>
          <w:szCs w:val="21"/>
        </w:rPr>
        <w:t>(Rosenberg &amp; Houglet, 1974; Yang, Vasarhelyi, &amp; Liu, 2003)</w:t>
      </w:r>
      <w:r w:rsidRPr="00420450">
        <w:rPr>
          <w:rFonts w:asciiTheme="majorBidi" w:hAnsiTheme="majorBidi" w:cstheme="majorBidi"/>
          <w:sz w:val="21"/>
          <w:szCs w:val="21"/>
        </w:rPr>
        <w:fldChar w:fldCharType="end"/>
      </w:r>
      <w:r w:rsidRPr="00420450">
        <w:rPr>
          <w:rFonts w:asciiTheme="majorBidi" w:hAnsiTheme="majorBidi" w:cstheme="majorBidi"/>
          <w:sz w:val="21"/>
          <w:szCs w:val="21"/>
        </w:rPr>
        <w:t xml:space="preserve">. </w:t>
      </w:r>
    </w:p>
    <w:p w:rsidR="00856D0D" w:rsidRPr="00420450" w:rsidRDefault="006A5C84" w:rsidP="00420450">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 xml:space="preserve">The quality of the </w:t>
      </w:r>
      <w:r w:rsidR="00191082" w:rsidRPr="00420450">
        <w:rPr>
          <w:rFonts w:asciiTheme="majorBidi" w:hAnsiTheme="majorBidi" w:cstheme="majorBidi"/>
          <w:sz w:val="21"/>
          <w:szCs w:val="21"/>
        </w:rPr>
        <w:t xml:space="preserve">newly mandated SEC </w:t>
      </w:r>
      <w:r w:rsidRPr="00420450">
        <w:rPr>
          <w:rFonts w:asciiTheme="majorBidi" w:hAnsiTheme="majorBidi" w:cstheme="majorBidi"/>
          <w:sz w:val="21"/>
          <w:szCs w:val="21"/>
        </w:rPr>
        <w:t>XBRL data</w:t>
      </w:r>
      <w:r w:rsidR="00856D0D" w:rsidRPr="00420450">
        <w:rPr>
          <w:rFonts w:asciiTheme="majorBidi" w:hAnsiTheme="majorBidi" w:cstheme="majorBidi"/>
          <w:sz w:val="21"/>
          <w:szCs w:val="21"/>
        </w:rPr>
        <w:t>, used in presenting past earnings performance,</w:t>
      </w:r>
      <w:r w:rsidRPr="00420450">
        <w:rPr>
          <w:rFonts w:asciiTheme="majorBidi" w:hAnsiTheme="majorBidi" w:cstheme="majorBidi"/>
          <w:sz w:val="21"/>
          <w:szCs w:val="21"/>
        </w:rPr>
        <w:t xml:space="preserve"> is a key factor </w:t>
      </w:r>
      <w:r w:rsidR="00191082" w:rsidRPr="00420450">
        <w:rPr>
          <w:rFonts w:asciiTheme="majorBidi" w:hAnsiTheme="majorBidi" w:cstheme="majorBidi"/>
          <w:sz w:val="21"/>
          <w:szCs w:val="21"/>
        </w:rPr>
        <w:t>for</w:t>
      </w:r>
      <w:r w:rsidRPr="00420450">
        <w:rPr>
          <w:rFonts w:asciiTheme="majorBidi" w:hAnsiTheme="majorBidi" w:cstheme="majorBidi"/>
          <w:sz w:val="21"/>
          <w:szCs w:val="21"/>
        </w:rPr>
        <w:t xml:space="preserve"> the success of its use and implementation for both academics and practitioners. </w:t>
      </w:r>
      <w:r w:rsidR="00856D0D" w:rsidRPr="00420450">
        <w:rPr>
          <w:rFonts w:asciiTheme="majorBidi" w:hAnsiTheme="majorBidi" w:cstheme="majorBidi"/>
          <w:sz w:val="21"/>
          <w:szCs w:val="21"/>
        </w:rPr>
        <w:t xml:space="preserve">Quality of the data provided by XBRL filings has been measured in several ways, among them: the number of errors in the computation of the filings </w:t>
      </w:r>
      <w:r w:rsidR="00856D0D" w:rsidRPr="00420450">
        <w:rPr>
          <w:rFonts w:asciiTheme="majorBidi" w:hAnsiTheme="majorBidi" w:cstheme="majorBidi"/>
          <w:sz w:val="21"/>
          <w:szCs w:val="21"/>
        </w:rPr>
        <w:fldChar w:fldCharType="begin" w:fldLock="1"/>
      </w:r>
      <w:r w:rsidR="0072437C">
        <w:rPr>
          <w:rFonts w:asciiTheme="majorBidi" w:hAnsiTheme="majorBidi" w:cstheme="majorBidi"/>
          <w:sz w:val="21"/>
          <w:szCs w:val="21"/>
        </w:rPr>
        <w:instrText>ADDIN CSL_CITATION { "citationItems" : [ { "id" : "ITEM-1", "itemData" : { "DOI" : "10.1016/j.jaccpubpol.2010.04.001", "ISBN" : "0278-4254", "ISSN" : "02784254", "abstract" : "In 2009, the Securities and Exchange Commission rolled out the first stage of a multi-year program to transition its EDGAR disclosure repository to the XBRL format. The quality of the XBRL data in the repository is vital for the success of the Commission's interactive data program. A key aspect of the data quality of these filings is the correctness of the mathematical relationships implied by the taxonomy and implemented in the instance document. One quarter of the filings by the initial 400 large corporations in the first round of submissions had errors, with differences reported monetary facts and the sum of other monetary facts that were bound together in a computation relationship. The primary cause of these errors was inappropriate treatment in the instance documents of underlying debit/credit assumptions in the taxonomy. The results of the research have a number of implications for filers, the SEC, XBRL US, software vendors and the global XBRL community. ?? 2010 Elsevier Inc.", "author" : [ { "dropping-particle" : "", "family" : "Debreceny", "given" : "Roger", "non-dropping-particle" : "", "parse-names" : false, "suffix" : "" }, { "dropping-particle" : "", "family" : "Farewell", "given" : "Stephanie", "non-dropping-particle" : "", "parse-names" : false, "suffix" : "" }, { "dropping-particle" : "", "family" : "Piechocki", "given" : "Maciej", "non-dropping-particle" : "", "parse-names" : false, "suffix" : "" }, { "dropping-particle" : "", "family" : "Felden", "given" : "Carsten", "non-dropping-particle" : "", "parse-names" : false, "suffix" : "" }, { "dropping-particle" : "", "family" : "Gr\u00e4ning", "given" : "Andr\u00e9", "non-dropping-particle" : "", "parse-names" : false, "suffix" : "" } ], "container-title" : "Journal of Accounting and Public Policy", "id" : "ITEM-1", "issue" : "3", "issued" : { "date-parts" : [ [ "2010" ] ] }, "page" : "296-306", "publisher" : "Elsevier Inc.", "title" : "Does it add up? Early evidence on the data quality of XBRL filings to the SEC", "type" : "article-journal", "volume" : "29" }, "uris" : [ "http://www.mendeley.com/documents/?uuid=0ff7da13-adfc-4009-920b-a2e418c16082" ] }, { "id" : "ITEM-2", "itemData" : { "author" : [ { "dropping-particle" : "", "family" : "Williams", "given" : "Kelly L", "non-dropping-particle" : "", "parse-names" : false, "suffix" : "" } ], "id" : "ITEM-2", "issue" : "August", "issued" : { "date-parts" : [ [ "2015" ] ] }, "title" : "The Prediction of Future Earnings Using Financial Statement Information: Are XBRL Company Filings up to the Task?", "type" : "report" }, "uris" : [ "http://www.mendeley.com/documents/?uuid=84aca0ab-a29e-4cbf-b95b-5c84ac0b66fd" ] }, { "id" : "ITEM-3", "itemData" : { "DOI" : "10.2308/isys-50922", "ISBN" : "1558-7959", "ISSN" : "0888-7985", "abstract" : "Compustat is frequently used for both research and decision making. It has been documented that information found in the Compustat database differs from both the information found in other accounting databases and the information disclosed in corporate financial filings (San Miguel 1977; Rosenberg and Houglet 1974; Yang, Vasarhelyi, and Liu 2003; Tallapally, Luehlfing, and Motha 2011, 2012; Boritz and No 2013). In this study, we conduct the first large-scale comparison of Compustat and 10-K data. Specifically, we compare 30 accounting line items of approximately 5,000 companies for the period from October 1, 2011 to September 30, 2012. We find that the values reported in Compustat significantly differ from the values reported in 10-K filings. We also find that the amount and magnitude of the original data alterations introduced by Compustat depend on the type of the accounting item and company characteristics, such as industry and size.", "author" : [ { "dropping-particle" : "", "family" : "Chychyla", "given" : "Roman", "non-dropping-particle" : "", "parse-names" : false, "suffix" : "" }, { "dropping-particle" : "", "family" : "Kogan", "given" : "Alexander", "non-dropping-particle" : "", "parse-names" : false, "suffix" : "" } ], "container-title" : "Journal of Information Systems", "id" : "ITEM-3", "issue" : "1", "issued" : { "date-parts" : [ [ "2015" ] ] }, "page" : "37-72", "title" : "Using XBRL to Conduct a Large-Scale Study of Discrepancies between the Accounting Numbers in Compustat and SEC 10-K Filings", "type" : "article-journal", "volume" : "29" }, "uris" : [ "http://www.mendeley.com/documents/?uuid=b1a73be2-fda4-478c-9d59-f4f0802a1b89" ] } ], "mendeley" : { "formattedCitation" : "(Chychyla &amp; Kogan, 2015; R. Debreceny, Farewell, Piechocki, Felden, &amp; Gr\u00e4ning, 2010; Williams, 2015)", "plainTextFormattedCitation" : "(Chychyla &amp; Kogan, 2015; R. Debreceny, Farewell, Piechocki, Felden, &amp; Gr\u00e4ning, 2010; Williams, 2015)", "previouslyFormattedCitation" : "(Chychyla &amp; Kogan, 2015; R. Debreceny, Farewell, Piechocki, Felden, &amp; Gr\u00e4ning, 2010; Williams, 2015)" }, "properties" : {  }, "schema" : "https://github.com/citation-style-language/schema/raw/master/csl-citation.json" }</w:instrText>
      </w:r>
      <w:r w:rsidR="00856D0D" w:rsidRPr="00420450">
        <w:rPr>
          <w:rFonts w:asciiTheme="majorBidi" w:hAnsiTheme="majorBidi" w:cstheme="majorBidi"/>
          <w:sz w:val="21"/>
          <w:szCs w:val="21"/>
        </w:rPr>
        <w:fldChar w:fldCharType="separate"/>
      </w:r>
      <w:r w:rsidR="0072437C" w:rsidRPr="0072437C">
        <w:rPr>
          <w:rFonts w:asciiTheme="majorBidi" w:hAnsiTheme="majorBidi" w:cstheme="majorBidi"/>
          <w:noProof/>
          <w:sz w:val="21"/>
          <w:szCs w:val="21"/>
        </w:rPr>
        <w:t>(Chychyla &amp; Kogan, 2015; R. Debreceny, Farewell, Piechocki, Felden, &amp; Gräning, 2010; Williams, 2015)</w:t>
      </w:r>
      <w:r w:rsidR="00856D0D" w:rsidRPr="00420450">
        <w:rPr>
          <w:rFonts w:asciiTheme="majorBidi" w:hAnsiTheme="majorBidi" w:cstheme="majorBidi"/>
          <w:sz w:val="21"/>
          <w:szCs w:val="21"/>
        </w:rPr>
        <w:fldChar w:fldCharType="end"/>
      </w:r>
      <w:r w:rsidR="00856D0D" w:rsidRPr="00420450">
        <w:rPr>
          <w:rFonts w:asciiTheme="majorBidi" w:hAnsiTheme="majorBidi" w:cstheme="majorBidi"/>
          <w:sz w:val="21"/>
          <w:szCs w:val="21"/>
        </w:rPr>
        <w:t xml:space="preserve">; in comparison with other sources of financial data </w:t>
      </w:r>
      <w:r w:rsidR="00856D0D" w:rsidRPr="00420450">
        <w:rPr>
          <w:rFonts w:asciiTheme="majorBidi" w:hAnsiTheme="majorBidi" w:cstheme="majorBidi"/>
          <w:sz w:val="21"/>
          <w:szCs w:val="21"/>
        </w:rPr>
        <w:fldChar w:fldCharType="begin" w:fldLock="1"/>
      </w:r>
      <w:r w:rsidR="00D62DF3">
        <w:rPr>
          <w:rFonts w:asciiTheme="majorBidi" w:hAnsiTheme="majorBidi" w:cstheme="majorBidi"/>
          <w:sz w:val="21"/>
          <w:szCs w:val="21"/>
        </w:rPr>
        <w:instrText>ADDIN CSL_CITATION { "citationItems" : [ { "id" : "ITEM-1", "itemData" : { "DOI" : "10.1007/s10551-015-2769-z.For", "ISBN" : "1055101527", "ISSN" : "9780983648703", "abstract" : "The issue of the quality of interactive data is of interest to all stakeholders in the evolution of XBRL since the adoption of XBRL is often premised on the value of making business data available to users in a standardized, shareable format. Proponents of XBRL claim that XBRL-tagged data obtained directly from the company or from a regulator\u2019s website such as the SEC\u2019s EDGAR, in contrast with data obtained from aggregators such as Compustat, are the closest and most accurate reflection of the company\u2019s intended communication in their official financial reports. However, to date, there has been no formal study of the similarities and differences between interactive data (i.e., XBRL-tagged data filed with the SEC) and data provided by aggregators. This study fills this gap by comparing interactive data with the data items reported by three prominent data aggregators or redistributors: Compustat, Google Finance, and Yahoo Finance. We find a significant rate of omission of more than 50% in the financial statement items provided by aggregators/redistributors compared with the interactive data available on the SEC\u2019s EDGAR website. For items that are not omitted, we find up to 4.8% (tracing from interactive data to aggregator data) and 8% (tracing from aggregator data to interactive data) mismatches, with approximately 56% of differences being greater than conventional materiality. The rate of mismatch differs by aggregator for the three financial statements studied: Balance Sheet, Income Statement, and the Statement of Cash Flows. The differences are most frequent in the Statement of Cash Flows (comparison between interactive data and aggregators) and the Income Statement (reverse comparison), but generally they tend to decline over the three year period studied. Keywords:", "author" : [ { "dropping-particle" : "", "family" : "Boritz", "given" : "J. Efrim", "non-dropping-particle" : "", "parse-names" : false, "suffix" : "" }, { "dropping-particle" : "", "family" : "No", "given" : "Won Gyun", "non-dropping-particle" : "", "parse-names" : false, "suffix" : "" } ], "id" : "ITEM-1", "issued" : { "date-parts" : [ [ "2013" ] ] }, "page" : "0-51", "title" : "The Quality of Interactive Data: XBRL versus Compustat, Yahoo Finance, and Google Finance", "type" : "article-journal" }, "uris" : [ "http://www.mendeley.com/documents/?uuid=4bcac2d5-c51d-4b80-834a-a437f6407354" ] } ], "mendeley" : { "formattedCitation" : "(Boritz &amp; No, 2013)", "plainTextFormattedCitation" : "(Boritz &amp; No, 2013)", "previouslyFormattedCitation" : "(Boritz &amp; No, 2013)" }, "properties" : {  }, "schema" : "https://github.com/citation-style-language/schema/raw/master/csl-citation.json" }</w:instrText>
      </w:r>
      <w:r w:rsidR="00856D0D" w:rsidRPr="00420450">
        <w:rPr>
          <w:rFonts w:asciiTheme="majorBidi" w:hAnsiTheme="majorBidi" w:cstheme="majorBidi"/>
          <w:sz w:val="21"/>
          <w:szCs w:val="21"/>
        </w:rPr>
        <w:fldChar w:fldCharType="separate"/>
      </w:r>
      <w:r w:rsidR="00233239" w:rsidRPr="00420450">
        <w:rPr>
          <w:rFonts w:asciiTheme="majorBidi" w:hAnsiTheme="majorBidi" w:cstheme="majorBidi"/>
          <w:noProof/>
          <w:sz w:val="21"/>
          <w:szCs w:val="21"/>
        </w:rPr>
        <w:t>(Boritz &amp; No, 2013)</w:t>
      </w:r>
      <w:r w:rsidR="00856D0D" w:rsidRPr="00420450">
        <w:rPr>
          <w:rFonts w:asciiTheme="majorBidi" w:hAnsiTheme="majorBidi" w:cstheme="majorBidi"/>
          <w:sz w:val="21"/>
          <w:szCs w:val="21"/>
        </w:rPr>
        <w:fldChar w:fldCharType="end"/>
      </w:r>
      <w:r w:rsidR="00856D0D" w:rsidRPr="00420450">
        <w:rPr>
          <w:rFonts w:asciiTheme="majorBidi" w:hAnsiTheme="majorBidi" w:cstheme="majorBidi"/>
          <w:sz w:val="21"/>
          <w:szCs w:val="21"/>
        </w:rPr>
        <w:t xml:space="preserve">; </w:t>
      </w:r>
      <w:r w:rsidR="00191082" w:rsidRPr="00420450">
        <w:rPr>
          <w:rFonts w:asciiTheme="majorBidi" w:hAnsiTheme="majorBidi" w:cstheme="majorBidi"/>
          <w:sz w:val="21"/>
          <w:szCs w:val="21"/>
        </w:rPr>
        <w:t xml:space="preserve">and </w:t>
      </w:r>
      <w:r w:rsidR="00856D0D" w:rsidRPr="00420450">
        <w:rPr>
          <w:rFonts w:asciiTheme="majorBidi" w:hAnsiTheme="majorBidi" w:cstheme="majorBidi"/>
          <w:sz w:val="21"/>
          <w:szCs w:val="21"/>
        </w:rPr>
        <w:t xml:space="preserve">in assessing  irregularities in accounting data </w:t>
      </w:r>
      <w:r w:rsidR="00856D0D" w:rsidRPr="00420450">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"10.2308/jeta-51247", "ISSN" : "15587940", "abstract" : "Motivated by the SEC XBRL mandate, this study analyzes the association between irregulari- ties in accounting numbers and earnings management. Because XBRL-structured SEC filings enable the gathering of accounting numbers to be fully automatic in a database-like manner, the SEC XBRL mandate provides vast opportunities for financial analysis that could not be possible with traditional ways of reporting. Based on all XBRL 10-K filings submitted to the SEC for fiscal years 2009\u20132012, we find that firms just beating earnings thresholds exhibit a higher amount of abnormal digit frequencies than firms that clearly miss or beat the bench- mark. Furthermore, we identify several possible monetary line items that may have been ma- nipulated to meet the earnings thresholds. Our findings are consistent with prior studies sug- gesting that firms manipulate accounting numbers surrounding earnings targets. Overall, XBRL-enhanced digit analysis may offer the SEC and investors alike a novel approach to quickly and easily evaluating the reliability of the accounting numbers communicated in fi- nancial reports.", "author" : [ { "dropping-particle" : "", "family" : "Henselmann", "given" : "Klaus", "non-dropping-particle" : "", "parse-names" : false, "suffix" : "" }, { "dropping-particle" : "", "family" : "Ditter", "given" : "Dominik", "non-dropping-particle" : "", "parse-names" : false, "suffix" : "" }, { "dropping-particle" : "", "family" : "Scherr", "given" : "Elisabeth", "non-dropping-particle" : "", "parse-names" : false, "suffix" : "" } ], "container-title" : "Journal of Emerging Technologies in Accounting", "id" : "ITEM-1", "issue" : "1", "issued" : { "date-parts" : [ [ "2015" ] ] }, "page" : "117-151", "title" : "Irregularities in Accounting Numbers and Earnings Management \u2013 A Novel Approach Based on SEC XBRL Filings", "type" : "article-journal", "volume" : "12" }, "uris" : [ "http://www.mendeley.com/documents/?uuid=828184f6-d887-4a07-9577-f15ed3a4d09e" ] } ], "mendeley" : { "formattedCitation" : "(Henselmann, Ditter, &amp; Scherr, 2015)", "plainTextFormattedCitation" : "(Henselmann, Ditter, &amp; Scherr, 2015)", "previouslyFormattedCitation" : "(Henselmann, Ditter, &amp; Scherr, 2015)" }, "properties" : {  }, "schema" : "https://github.com/citation-style-language/schema/raw/master/csl-citation.json" }</w:instrText>
      </w:r>
      <w:r w:rsidR="00856D0D" w:rsidRPr="00420450">
        <w:rPr>
          <w:rFonts w:asciiTheme="majorBidi" w:hAnsiTheme="majorBidi" w:cstheme="majorBidi"/>
          <w:sz w:val="21"/>
          <w:szCs w:val="21"/>
        </w:rPr>
        <w:fldChar w:fldCharType="separate"/>
      </w:r>
      <w:r w:rsidR="00233239" w:rsidRPr="00420450">
        <w:rPr>
          <w:rFonts w:asciiTheme="majorBidi" w:hAnsiTheme="majorBidi" w:cstheme="majorBidi"/>
          <w:noProof/>
          <w:sz w:val="21"/>
          <w:szCs w:val="21"/>
        </w:rPr>
        <w:t>(Henselmann, Ditter, &amp; Scherr, 2015)</w:t>
      </w:r>
      <w:r w:rsidR="00856D0D" w:rsidRPr="00420450">
        <w:rPr>
          <w:rFonts w:asciiTheme="majorBidi" w:hAnsiTheme="majorBidi" w:cstheme="majorBidi"/>
          <w:sz w:val="21"/>
          <w:szCs w:val="21"/>
        </w:rPr>
        <w:fldChar w:fldCharType="end"/>
      </w:r>
      <w:r w:rsidR="00856D0D" w:rsidRPr="00420450">
        <w:rPr>
          <w:rFonts w:asciiTheme="majorBidi" w:hAnsiTheme="majorBidi" w:cstheme="majorBidi"/>
          <w:sz w:val="21"/>
          <w:szCs w:val="21"/>
        </w:rPr>
        <w:t xml:space="preserve">. </w:t>
      </w:r>
    </w:p>
    <w:p w:rsidR="00856D0D" w:rsidRPr="00420450" w:rsidRDefault="00856D0D" w:rsidP="00420450">
      <w:pPr>
        <w:autoSpaceDE w:val="0"/>
        <w:autoSpaceDN w:val="0"/>
        <w:adjustRightInd w:val="0"/>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 xml:space="preserve">Another suggestion for quality measurement is to examine whether findings from prior research that relied on private vendor databases (such as COMPUSTAT), if replicated, will still hold using XBRL database </w:t>
      </w:r>
      <w:r w:rsidRPr="00420450">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"10.2308/isys-10258", "ISBN" : "0888-7985", "ISSN" : "0888-7985", "abstract" : "XBRL (eXtensible Business Reporting Language) has become an important element of the financial reporting landscape. This paper provides a discussion of the effects of XBRL on the usefulness of financial data. Using the theoretical framework of the technology acceptance model (TAM), we examine XBRL's potential to improve the usefulness of reported financial information. As XBRL gains wider acceptance, we examine five axes along which XBRL standardization will propagate: current data, disclosure format, historical data, data fidelity and assurance, and thirdparty data. We also call attention to new research opportunities that may arise as XBRL and related technologies mature.", "author" : [ { "dropping-particle" : "", "family" : "Vasarhelyi", "given" : "Miklos a.", "non-dropping-particle" : "", "parse-names" : false, "suffix" : "" }, { "dropping-particle" : "", "family" : "Chan", "given" : "David Y.", "non-dropping-particle" : "", "parse-names" : false, "suffix" : "" }, { "dropping-particle" : "", "family" : "Krahel", "given" : "J. P.", "non-dropping-particle" : "", "parse-names" : false, "suffix" : "" } ], "container-title" : "Journal of Information Systems", "id" : "ITEM-1", "issue" : "1", "issued" : { "date-parts" : [ [ "2012" ] ] }, "page" : "155-167", "title" : "Consequences of XBRL Standardization on Financial Statement Data", "type" : "article-journal", "volume" : "26" }, "uris" : [ "http://www.mendeley.com/documents/?uuid=3bcb3a7b-2519-417f-a1f3-dbf5c91922d4" ] } ], "mendeley" : { "formattedCitation" : "(Vasarhelyi, Chan, &amp; Krahel, 2012)", "plainTextFormattedCitation" : "(Vasarhelyi, Chan, &amp; Krahel, 2012)", "previouslyFormattedCitation" : "(Vasarhelyi, Chan, &amp; Krahel, 2012)" }, "properties" : {  }, "schema" : "https://github.com/citation-style-language/schema/raw/master/csl-citation.json" }</w:instrText>
      </w:r>
      <w:r w:rsidRPr="00420450">
        <w:rPr>
          <w:rFonts w:asciiTheme="majorBidi" w:hAnsiTheme="majorBidi" w:cstheme="majorBidi"/>
          <w:sz w:val="21"/>
          <w:szCs w:val="21"/>
        </w:rPr>
        <w:fldChar w:fldCharType="separate"/>
      </w:r>
      <w:r w:rsidR="00233239" w:rsidRPr="00420450">
        <w:rPr>
          <w:rFonts w:asciiTheme="majorBidi" w:hAnsiTheme="majorBidi" w:cstheme="majorBidi"/>
          <w:noProof/>
          <w:sz w:val="21"/>
          <w:szCs w:val="21"/>
        </w:rPr>
        <w:t>(Vasarhelyi, Chan, &amp; Krahel, 2012)</w:t>
      </w:r>
      <w:r w:rsidRPr="00420450">
        <w:rPr>
          <w:rFonts w:asciiTheme="majorBidi" w:hAnsiTheme="majorBidi" w:cstheme="majorBidi"/>
          <w:sz w:val="21"/>
          <w:szCs w:val="21"/>
        </w:rPr>
        <w:fldChar w:fldCharType="end"/>
      </w:r>
      <w:r w:rsidRPr="00420450">
        <w:rPr>
          <w:rFonts w:asciiTheme="majorBidi" w:hAnsiTheme="majorBidi" w:cstheme="majorBidi"/>
          <w:sz w:val="21"/>
          <w:szCs w:val="21"/>
        </w:rPr>
        <w:t>. The current study is an attempt to follow this suggestion, and examine the ability of earnings, presented in XBRL data, to indicate future earnings, and how the information may be enhanced.</w:t>
      </w:r>
    </w:p>
    <w:p w:rsidR="00A567FB" w:rsidRPr="00420450" w:rsidRDefault="00A567FB" w:rsidP="00420450">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The paper is organized as follows, the second section reviews academic literature</w:t>
      </w:r>
      <w:r w:rsidR="0046040E" w:rsidRPr="00420450">
        <w:rPr>
          <w:rFonts w:asciiTheme="majorBidi" w:hAnsiTheme="majorBidi" w:cstheme="majorBidi"/>
          <w:sz w:val="21"/>
          <w:szCs w:val="21"/>
        </w:rPr>
        <w:t xml:space="preserve"> examining research conducted on the validity of XBRL as a means for data, </w:t>
      </w:r>
      <w:r w:rsidR="00DA4A2A">
        <w:rPr>
          <w:rFonts w:asciiTheme="majorBidi" w:hAnsiTheme="majorBidi" w:cstheme="majorBidi"/>
          <w:sz w:val="21"/>
          <w:szCs w:val="21"/>
        </w:rPr>
        <w:t xml:space="preserve">the limitations of </w:t>
      </w:r>
      <w:r w:rsidR="00A77759">
        <w:rPr>
          <w:rFonts w:asciiTheme="majorBidi" w:hAnsiTheme="majorBidi" w:cstheme="majorBidi"/>
          <w:sz w:val="21"/>
          <w:szCs w:val="21"/>
        </w:rPr>
        <w:t>XBRL data</w:t>
      </w:r>
      <w:r w:rsidR="005B39A9">
        <w:rPr>
          <w:rFonts w:asciiTheme="majorBidi" w:hAnsiTheme="majorBidi" w:cstheme="majorBidi"/>
          <w:sz w:val="21"/>
          <w:szCs w:val="21"/>
        </w:rPr>
        <w:t xml:space="preserve"> and the earnings prediction model using financial statement information</w:t>
      </w:r>
      <w:r w:rsidR="00A77759">
        <w:rPr>
          <w:rFonts w:asciiTheme="majorBidi" w:hAnsiTheme="majorBidi" w:cstheme="majorBidi"/>
          <w:sz w:val="21"/>
          <w:szCs w:val="21"/>
        </w:rPr>
        <w:t xml:space="preserve">. </w:t>
      </w:r>
      <w:r w:rsidRPr="00420450">
        <w:rPr>
          <w:rFonts w:asciiTheme="majorBidi" w:hAnsiTheme="majorBidi" w:cstheme="majorBidi"/>
          <w:sz w:val="21"/>
          <w:szCs w:val="21"/>
        </w:rPr>
        <w:t>The third section outlines the method employed and the data used. Section four presents and discusses the results for the model</w:t>
      </w:r>
      <w:r w:rsidR="00EE70A2" w:rsidRPr="00420450">
        <w:rPr>
          <w:rFonts w:asciiTheme="majorBidi" w:hAnsiTheme="majorBidi" w:cstheme="majorBidi"/>
          <w:sz w:val="21"/>
          <w:szCs w:val="21"/>
        </w:rPr>
        <w:t>s</w:t>
      </w:r>
      <w:r w:rsidRPr="00420450">
        <w:rPr>
          <w:rFonts w:asciiTheme="majorBidi" w:hAnsiTheme="majorBidi" w:cstheme="majorBidi"/>
          <w:sz w:val="21"/>
          <w:szCs w:val="21"/>
        </w:rPr>
        <w:t xml:space="preserve"> developed to forecast future movements in earnings </w:t>
      </w:r>
      <w:r w:rsidR="003A0751" w:rsidRPr="00420450">
        <w:rPr>
          <w:rFonts w:asciiTheme="majorBidi" w:hAnsiTheme="majorBidi" w:cstheme="majorBidi"/>
          <w:sz w:val="21"/>
          <w:szCs w:val="21"/>
        </w:rPr>
        <w:t xml:space="preserve">for </w:t>
      </w:r>
      <w:r w:rsidRPr="00420450">
        <w:rPr>
          <w:rFonts w:asciiTheme="majorBidi" w:hAnsiTheme="majorBidi" w:cstheme="majorBidi"/>
          <w:sz w:val="21"/>
          <w:szCs w:val="21"/>
        </w:rPr>
        <w:t xml:space="preserve">the entire sample. The fifth section </w:t>
      </w:r>
      <w:r w:rsidR="00EE70A2" w:rsidRPr="00420450">
        <w:rPr>
          <w:rFonts w:asciiTheme="majorBidi" w:hAnsiTheme="majorBidi" w:cstheme="majorBidi"/>
          <w:sz w:val="21"/>
          <w:szCs w:val="21"/>
        </w:rPr>
        <w:t xml:space="preserve">describes the methodology used </w:t>
      </w:r>
      <w:r w:rsidR="003A0751" w:rsidRPr="00420450">
        <w:rPr>
          <w:rFonts w:asciiTheme="majorBidi" w:hAnsiTheme="majorBidi" w:cstheme="majorBidi"/>
          <w:sz w:val="21"/>
          <w:szCs w:val="21"/>
        </w:rPr>
        <w:t>for data imputation</w:t>
      </w:r>
      <w:r w:rsidR="00EE70A2" w:rsidRPr="00420450">
        <w:rPr>
          <w:rFonts w:asciiTheme="majorBidi" w:hAnsiTheme="majorBidi" w:cstheme="majorBidi"/>
          <w:sz w:val="21"/>
          <w:szCs w:val="21"/>
        </w:rPr>
        <w:t xml:space="preserve"> and presents the results.</w:t>
      </w:r>
      <w:r w:rsidR="0046040E" w:rsidRPr="00420450">
        <w:rPr>
          <w:rFonts w:asciiTheme="majorBidi" w:hAnsiTheme="majorBidi" w:cstheme="majorBidi"/>
          <w:sz w:val="21"/>
          <w:szCs w:val="21"/>
        </w:rPr>
        <w:t xml:space="preserve"> </w:t>
      </w:r>
      <w:r w:rsidRPr="00420450">
        <w:rPr>
          <w:rFonts w:asciiTheme="majorBidi" w:hAnsiTheme="majorBidi" w:cstheme="majorBidi"/>
          <w:sz w:val="21"/>
          <w:szCs w:val="21"/>
        </w:rPr>
        <w:t xml:space="preserve"> </w:t>
      </w:r>
      <w:r w:rsidR="00EE70A2" w:rsidRPr="00420450">
        <w:rPr>
          <w:rFonts w:asciiTheme="majorBidi" w:hAnsiTheme="majorBidi" w:cstheme="majorBidi"/>
          <w:sz w:val="21"/>
          <w:szCs w:val="21"/>
        </w:rPr>
        <w:t xml:space="preserve">The next section presents and discusses the results for the models developed to forecast future movements in earnings utilizing </w:t>
      </w:r>
      <w:r w:rsidR="003A0751" w:rsidRPr="00420450">
        <w:rPr>
          <w:rFonts w:asciiTheme="majorBidi" w:hAnsiTheme="majorBidi" w:cstheme="majorBidi"/>
          <w:sz w:val="21"/>
          <w:szCs w:val="21"/>
        </w:rPr>
        <w:t>the completed data</w:t>
      </w:r>
      <w:r w:rsidR="00EE70A2" w:rsidRPr="00420450">
        <w:rPr>
          <w:rFonts w:asciiTheme="majorBidi" w:hAnsiTheme="majorBidi" w:cstheme="majorBidi"/>
          <w:sz w:val="21"/>
          <w:szCs w:val="21"/>
        </w:rPr>
        <w:t xml:space="preserve">. </w:t>
      </w:r>
      <w:r w:rsidR="008572BC" w:rsidRPr="00420450">
        <w:rPr>
          <w:rFonts w:asciiTheme="majorBidi" w:hAnsiTheme="majorBidi" w:cstheme="majorBidi"/>
          <w:sz w:val="21"/>
          <w:szCs w:val="21"/>
        </w:rPr>
        <w:t xml:space="preserve">The seventh section attempts to examine the results based on industry disaggregation. </w:t>
      </w:r>
      <w:r w:rsidRPr="00420450">
        <w:rPr>
          <w:rFonts w:asciiTheme="majorBidi" w:hAnsiTheme="majorBidi" w:cstheme="majorBidi"/>
          <w:sz w:val="21"/>
          <w:szCs w:val="21"/>
        </w:rPr>
        <w:t xml:space="preserve">The last section concludes the paper. </w:t>
      </w:r>
    </w:p>
    <w:p w:rsidR="00A567FB" w:rsidRPr="00254D61" w:rsidRDefault="00A567FB" w:rsidP="00530BF5">
      <w:pPr>
        <w:rPr>
          <w:rFonts w:asciiTheme="majorBidi" w:hAnsiTheme="majorBidi" w:cstheme="majorBidi"/>
          <w:sz w:val="24"/>
          <w:szCs w:val="24"/>
        </w:rPr>
      </w:pPr>
    </w:p>
    <w:p w:rsidR="00A567FB" w:rsidRPr="00254D61" w:rsidRDefault="00A567FB" w:rsidP="00420450">
      <w:pPr>
        <w:pStyle w:val="1"/>
      </w:pPr>
      <w:r w:rsidRPr="00254D61">
        <w:t>ACADEMIC RESEARCH</w:t>
      </w:r>
    </w:p>
    <w:p w:rsidR="008572BC" w:rsidRPr="00420450" w:rsidRDefault="008572BC" w:rsidP="005B39A9">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 xml:space="preserve">In this section will be presented a review of relevant literature on </w:t>
      </w:r>
      <w:r w:rsidR="005B39A9">
        <w:rPr>
          <w:rFonts w:asciiTheme="majorBidi" w:hAnsiTheme="majorBidi" w:cstheme="majorBidi"/>
          <w:b w:val="0"/>
          <w:sz w:val="21"/>
          <w:szCs w:val="21"/>
          <w:lang w:bidi="he-IL"/>
        </w:rPr>
        <w:t>three</w:t>
      </w:r>
      <w:r w:rsidRPr="00420450">
        <w:rPr>
          <w:rFonts w:asciiTheme="majorBidi" w:hAnsiTheme="majorBidi" w:cstheme="majorBidi"/>
          <w:b w:val="0"/>
          <w:sz w:val="21"/>
          <w:szCs w:val="21"/>
          <w:lang w:bidi="he-IL"/>
        </w:rPr>
        <w:t xml:space="preserve"> issues: the validity and quality of XBRL as a data  source</w:t>
      </w:r>
      <w:r w:rsidR="005B39A9">
        <w:rPr>
          <w:rFonts w:asciiTheme="majorBidi" w:hAnsiTheme="majorBidi" w:cstheme="majorBidi"/>
          <w:b w:val="0"/>
          <w:sz w:val="21"/>
          <w:szCs w:val="21"/>
          <w:lang w:bidi="he-IL"/>
        </w:rPr>
        <w:t xml:space="preserve">, </w:t>
      </w:r>
      <w:r w:rsidR="005B39A9" w:rsidRPr="005B39A9">
        <w:rPr>
          <w:rFonts w:asciiTheme="majorBidi" w:hAnsiTheme="majorBidi" w:cstheme="majorBidi"/>
          <w:b w:val="0"/>
          <w:bCs/>
          <w:sz w:val="21"/>
          <w:szCs w:val="21"/>
        </w:rPr>
        <w:t>the limitations of XBRL data</w:t>
      </w:r>
      <w:r w:rsidRPr="005B39A9">
        <w:rPr>
          <w:rFonts w:asciiTheme="majorBidi" w:hAnsiTheme="majorBidi" w:cstheme="majorBidi"/>
          <w:b w:val="0"/>
          <w:bCs/>
          <w:sz w:val="21"/>
          <w:szCs w:val="21"/>
          <w:lang w:bidi="he-IL"/>
        </w:rPr>
        <w:t xml:space="preserve"> and</w:t>
      </w:r>
      <w:r w:rsidRPr="00420450">
        <w:rPr>
          <w:rFonts w:asciiTheme="majorBidi" w:hAnsiTheme="majorBidi" w:cstheme="majorBidi"/>
          <w:b w:val="0"/>
          <w:sz w:val="21"/>
          <w:szCs w:val="21"/>
          <w:lang w:bidi="he-IL"/>
        </w:rPr>
        <w:t xml:space="preserve"> </w:t>
      </w:r>
      <w:r w:rsidR="005B39A9">
        <w:rPr>
          <w:rFonts w:asciiTheme="majorBidi" w:hAnsiTheme="majorBidi" w:cstheme="majorBidi"/>
          <w:b w:val="0"/>
          <w:sz w:val="21"/>
          <w:szCs w:val="21"/>
          <w:lang w:bidi="he-IL"/>
        </w:rPr>
        <w:t xml:space="preserve">the earnings prediction model </w:t>
      </w:r>
      <w:r w:rsidR="005B39A9">
        <w:rPr>
          <w:rFonts w:asciiTheme="majorBidi" w:hAnsiTheme="majorBidi" w:cstheme="majorBidi"/>
          <w:b w:val="0"/>
          <w:sz w:val="21"/>
          <w:szCs w:val="21"/>
          <w:lang w:bidi="he-IL"/>
        </w:rPr>
        <w:fldChar w:fldCharType="begin" w:fldLock="1"/>
      </w:r>
      <w:r w:rsidR="005B39A9">
        <w:rPr>
          <w:rFonts w:asciiTheme="majorBidi" w:hAnsiTheme="majorBidi" w:cstheme="majorBidi"/>
          <w:b w:val="0"/>
          <w:sz w:val="21"/>
          <w:szCs w:val="21"/>
          <w:lang w:bidi="he-IL"/>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"mendeley" : { "formattedCitation" : "(Ou &amp; Penman, 1989)", "plainTextFormattedCitation" : "(Ou &amp; Penman, 1989)", "previouslyFormattedCitation" : "(Ou &amp; Penman, 1989)" }, "properties" : {  }, "schema" : "https://github.com/citation-style-language/schema/raw/master/csl-citation.json" }</w:instrText>
      </w:r>
      <w:r w:rsidR="005B39A9">
        <w:rPr>
          <w:rFonts w:asciiTheme="majorBidi" w:hAnsiTheme="majorBidi" w:cstheme="majorBidi"/>
          <w:b w:val="0"/>
          <w:sz w:val="21"/>
          <w:szCs w:val="21"/>
          <w:lang w:bidi="he-IL"/>
        </w:rPr>
        <w:fldChar w:fldCharType="separate"/>
      </w:r>
      <w:r w:rsidR="005B39A9" w:rsidRPr="005B39A9">
        <w:rPr>
          <w:rFonts w:asciiTheme="majorBidi" w:hAnsiTheme="majorBidi" w:cstheme="majorBidi"/>
          <w:b w:val="0"/>
          <w:noProof/>
          <w:sz w:val="21"/>
          <w:szCs w:val="21"/>
          <w:lang w:bidi="he-IL"/>
        </w:rPr>
        <w:t>(Ou &amp; Penman, 1989)</w:t>
      </w:r>
      <w:r w:rsidR="005B39A9">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w:t>
      </w:r>
    </w:p>
    <w:p w:rsidR="008572BC" w:rsidRPr="00254D61" w:rsidRDefault="008572BC" w:rsidP="00420450">
      <w:pPr>
        <w:pStyle w:val="2"/>
      </w:pPr>
      <w:r w:rsidRPr="00420450">
        <w:rPr>
          <w:sz w:val="21"/>
          <w:szCs w:val="21"/>
        </w:rPr>
        <w:t>Validity</w:t>
      </w:r>
      <w:r w:rsidRPr="00254D61">
        <w:t xml:space="preserve"> of </w:t>
      </w:r>
      <w:r w:rsidRPr="00420450">
        <w:t>XBRL</w:t>
      </w:r>
    </w:p>
    <w:p w:rsidR="008572BC" w:rsidRPr="00420450"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Extensible Business Reporting Language (XBRL) is a business and financial reporting technology that is being implemented to enhance internal and external reporting, electronic filing, and sharing of information.</w:t>
      </w:r>
    </w:p>
    <w:p w:rsidR="008572BC" w:rsidRPr="00420450"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 xml:space="preserve">Beginning in 2009 the SEC requires that all publicly traded companies must submit financial reports in a standardized structure using XBRL to the Electronic Data Gathering, Analysis, and Retrieval (EDGAR) system under a three-year phase-in schedule. In the first phase, as of June 15, 2009 large accelerated filers that have a worldwide public common equity float above $5 billion as of the end of the second fiscal quarter of the most recently completed fiscal year, and who prepare their financial statements according to U.S. GAAP (Generally Accepted Accounting Principles), are subject to XBRL quarterly filings. In the second phase, as of June 15, 2010 all other large accelerated filers are required to comply. In the last phase, which started on June 15, 2011, all remaining filers, including smaller reporting companies, are required to file XBRL quarterly reports as an exhibit to the traditional filings </w:t>
      </w:r>
      <w:r w:rsidRPr="00420450">
        <w:rPr>
          <w:rFonts w:asciiTheme="majorBidi" w:hAnsiTheme="majorBidi" w:cstheme="majorBidi"/>
          <w:b w:val="0"/>
          <w:sz w:val="21"/>
          <w:szCs w:val="21"/>
          <w:lang w:bidi="he-IL"/>
        </w:rPr>
        <w:fldChar w:fldCharType="begin" w:fldLock="1"/>
      </w:r>
      <w:r w:rsidR="007A0C89">
        <w:rPr>
          <w:rFonts w:asciiTheme="majorBidi" w:hAnsiTheme="majorBidi" w:cstheme="majorBidi"/>
          <w:b w:val="0"/>
          <w:sz w:val="21"/>
          <w:szCs w:val="21"/>
          <w:lang w:bidi="he-IL"/>
        </w:rPr>
        <w:instrText>ADDIN CSL_CITATION { "citationItems" : [ { "id" : "ITEM-1", "itemData" : { "author" : [ { "dropping-particle" : "", "family" : "SEC", "given" : "", "non-dropping-particle" : "", "parse-names" : false, "suffix" : "" } ], "id" : "ITEM-1", "issued" : { "date-parts" : [ [ "2009" ] ] }, "publisher-place" : "Washington D.C.", "title" : "Interactive Data to Improve Financial Reporting. Release Nos. 33-9002, 34-59324; 39-2461; IC-28609.", "type" : "report" }, "uris" : [ "http://www.mendeley.com/documents/?uuid=3d1645aa-03eb-4038-8a1f-20822bdd4c8d" ] } ], "mendeley" : { "formattedCitation" : "(SEC, 2009)", "plainTextFormattedCitation" : "(SEC, 2009)", "previouslyFormattedCitation" : "(SEC, 2009)"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(SEC, 2009)</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w:t>
      </w:r>
    </w:p>
    <w:p w:rsidR="008572BC" w:rsidRPr="00420450"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The novelty of the XBRL structured financial reports is that the reporting content i</w:t>
      </w:r>
      <w:r w:rsidR="00530BF5" w:rsidRPr="00420450">
        <w:rPr>
          <w:rFonts w:asciiTheme="majorBidi" w:hAnsiTheme="majorBidi" w:cstheme="majorBidi"/>
          <w:b w:val="0"/>
          <w:sz w:val="21"/>
          <w:szCs w:val="21"/>
          <w:lang w:bidi="he-IL"/>
        </w:rPr>
        <w:t xml:space="preserve">s marked up </w:t>
      </w:r>
      <w:r w:rsidRPr="00420450">
        <w:rPr>
          <w:rFonts w:asciiTheme="majorBidi" w:hAnsiTheme="majorBidi" w:cstheme="majorBidi"/>
          <w:b w:val="0"/>
          <w:sz w:val="21"/>
          <w:szCs w:val="21"/>
          <w:lang w:bidi="he-IL"/>
        </w:rPr>
        <w:t>with standardized elements (XBRL tags) from a publicized list of pre-defined items (XBRL taxonomy). For example, the 2013 U.S. GAAP taxonomy contain approximately 19,000 XBRL tags that allow the user to easily extract the desired information for analysis purposes.</w:t>
      </w:r>
    </w:p>
    <w:p w:rsidR="008572BC" w:rsidRPr="00420450"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Literature suggests that there are several advantages of usin</w:t>
      </w:r>
      <w:r w:rsidR="00530BF5" w:rsidRPr="00420450">
        <w:rPr>
          <w:rFonts w:asciiTheme="majorBidi" w:hAnsiTheme="majorBidi" w:cstheme="majorBidi"/>
          <w:b w:val="0"/>
          <w:sz w:val="21"/>
          <w:szCs w:val="21"/>
          <w:lang w:bidi="he-IL"/>
        </w:rPr>
        <w:t xml:space="preserve">g SEC XBRL filings both for the </w:t>
      </w:r>
      <w:r w:rsidRPr="00420450">
        <w:rPr>
          <w:rFonts w:asciiTheme="majorBidi" w:hAnsiTheme="majorBidi" w:cstheme="majorBidi"/>
          <w:b w:val="0"/>
          <w:sz w:val="21"/>
          <w:szCs w:val="21"/>
          <w:lang w:bidi="he-IL"/>
        </w:rPr>
        <w:t>adopting companies as well as the capital markets and research:</w:t>
      </w:r>
    </w:p>
    <w:p w:rsidR="00530BF5" w:rsidRPr="00420450"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The XBRL structure enables unique identification and reliable extraction of ac</w:t>
      </w:r>
      <w:r w:rsidR="00530BF5" w:rsidRPr="00420450">
        <w:rPr>
          <w:rFonts w:asciiTheme="majorBidi" w:hAnsiTheme="majorBidi" w:cstheme="majorBidi"/>
          <w:b w:val="0"/>
          <w:sz w:val="21"/>
          <w:szCs w:val="21"/>
          <w:lang w:bidi="he-IL"/>
        </w:rPr>
        <w:t xml:space="preserve">counting numbers </w:t>
      </w:r>
      <w:r w:rsidRPr="00420450">
        <w:rPr>
          <w:rFonts w:asciiTheme="majorBidi" w:hAnsiTheme="majorBidi" w:cstheme="majorBidi"/>
          <w:b w:val="0"/>
          <w:sz w:val="21"/>
          <w:szCs w:val="21"/>
          <w:lang w:bidi="he-IL"/>
        </w:rPr>
        <w:t xml:space="preserve">from the financial reports – additional information comes tagged and there are no distortions due to the use of different display formats </w:t>
      </w:r>
      <w:r w:rsidRPr="00420450">
        <w:rPr>
          <w:rFonts w:asciiTheme="majorBidi" w:hAnsiTheme="majorBidi" w:cstheme="majorBidi"/>
          <w:b w:val="0"/>
          <w:sz w:val="21"/>
          <w:szCs w:val="21"/>
          <w:lang w:bidi="he-IL"/>
        </w:rPr>
        <w:fldChar w:fldCharType="begin" w:fldLock="1"/>
      </w:r>
      <w:r w:rsidR="007A0C89">
        <w:rPr>
          <w:rFonts w:asciiTheme="majorBidi" w:hAnsiTheme="majorBidi" w:cstheme="majorBidi"/>
          <w:b w:val="0"/>
          <w:sz w:val="21"/>
          <w:szCs w:val="21"/>
          <w:lang w:bidi="he-IL"/>
        </w:rPr>
        <w:instrText>ADDIN CSL_CITATION { "citationItems" : [ { "id" : "ITEM-1", "itemData" : { "DOI" : "10.2308/jeta-51247", "ISSN" : "15587940", "abstract" : "Motivated by the SEC XBRL mandate, this study analyzes the association between irregulari- ties in accounting numbers and earnings management. Because XBRL-structured SEC filings enable the gathering of accounting numbers to be fully automatic in a database-like manner, the SEC XBRL mandate provides vast opportunities for financial analysis that could not be possible with traditional ways of reporting. Based on all XBRL 10-K filings submitted to the SEC for fiscal years 2009\u20132012, we find that firms just beating earnings thresholds exhibit a higher amount of abnormal digit frequencies than firms that clearly miss or beat the bench- mark. Furthermore, we identify several possible monetary line items that may have been ma- nipulated to meet the earnings thresholds. Our findings are consistent with prior studies sug- gesting that firms manipulate accounting numbers surrounding earnings targets. Overall, XBRL-enhanced digit analysis may offer the SEC and investors alike a novel approach to quickly and easily evaluating the reliability of the accounting numbers communicated in fi- nancial reports.", "author" : [ { "dropping-particle" : "", "family" : "Henselmann", "given" : "Klaus", "non-dropping-particle" : "", "parse-names" : false, "suffix" : "" }, { "dropping-particle" : "", "family" : "Ditter", "given" : "Dominik", "non-dropping-particle" : "", "parse-names" : false, "suffix" : "" }, { "dropping-particle" : "", "family" : "Scherr", "given" : "Elisabeth", "non-dropping-particle" : "", "parse-names" : false, "suffix" : "" } ], "container-title" : "Journal of Emerging Technologies in Accounting", "id" : "ITEM-1", "issue" : "1", "issued" : { "date-parts" : [ [ "2015" ] ] }, "page" : "117-151", "title" : "Irregularities in Accounting Numbers and Earnings Management \u2013 A Novel Approach Based on SEC XBRL Filings", "type" : "article-journal", "volume" : "12" }, "uris" : [ "http://www.mendeley.com/documents/?uuid=828184f6-d887-4a07-9577-f15ed3a4d09e" ] } ], "mendeley" : { "formattedCitation" : "(Henselmann et al., 2015)", "plainTextFormattedCitation" : "(Henselmann et al., 2015)", "previouslyFormattedCitation" : "(Henselmann et al., 2015)"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(Henselmann et al., 2015)</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w:t>
      </w:r>
    </w:p>
    <w:p w:rsidR="00530BF5" w:rsidRPr="00420450"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There is no deviation from the expected digit distribution due</w:t>
      </w:r>
      <w:r w:rsidR="00530BF5" w:rsidRPr="00420450">
        <w:rPr>
          <w:rFonts w:asciiTheme="majorBidi" w:hAnsiTheme="majorBidi" w:cstheme="majorBidi"/>
          <w:b w:val="0"/>
          <w:sz w:val="21"/>
          <w:szCs w:val="21"/>
          <w:lang w:bidi="he-IL"/>
        </w:rPr>
        <w:t xml:space="preserve"> to differences between varying </w:t>
      </w:r>
      <w:r w:rsidRPr="00420450">
        <w:rPr>
          <w:rFonts w:asciiTheme="majorBidi" w:hAnsiTheme="majorBidi" w:cstheme="majorBidi"/>
          <w:b w:val="0"/>
          <w:sz w:val="21"/>
          <w:szCs w:val="21"/>
          <w:lang w:bidi="he-IL"/>
        </w:rPr>
        <w:t>database providers</w:t>
      </w:r>
      <w:r w:rsidRPr="00420450">
        <w:rPr>
          <w:rFonts w:asciiTheme="majorBidi" w:hAnsiTheme="majorBidi" w:cstheme="majorBidi"/>
          <w:b w:val="0"/>
          <w:sz w:val="21"/>
          <w:szCs w:val="21"/>
          <w:lang w:bidi="he-IL"/>
        </w:rPr>
        <w:fldChar w:fldCharType="begin" w:fldLock="1"/>
      </w:r>
      <w:r w:rsidR="007A0C89">
        <w:rPr>
          <w:rFonts w:asciiTheme="majorBidi" w:hAnsiTheme="majorBidi" w:cstheme="majorBidi"/>
          <w:b w:val="0"/>
          <w:sz w:val="21"/>
          <w:szCs w:val="21"/>
          <w:lang w:bidi="he-IL"/>
        </w:rPr>
        <w:instrText>ADDIN CSL_CITATION { "citationItems" : [ { "id" : "ITEM-1", "itemData" : { "DOI" : "10.2308/jeta-51247", "ISSN" : "15587940", "abstract" : "Motivated by the SEC XBRL mandate, this study analyzes the association between irregulari- ties in accounting numbers and earnings management. Because XBRL-structured SEC filings enable the gathering of accounting numbers to be fully automatic in a database-like manner, the SEC XBRL mandate provides vast opportunities for financial analysis that could not be possible with traditional ways of reporting. Based on all XBRL 10-K filings submitted to the SEC for fiscal years 2009\u20132012, we find that firms just beating earnings thresholds exhibit a higher amount of abnormal digit frequencies than firms that clearly miss or beat the bench- mark. Furthermore, we identify several possible monetary line items that may have been ma- nipulated to meet the earnings thresholds. Our findings are consistent with prior studies sug- gesting that firms manipulate accounting numbers surrounding earnings targets. Overall, XBRL-enhanced digit analysis may offer the SEC and investors alike a novel approach to quickly and easily evaluating the reliability of the accounting numbers communicated in fi- nancial reports.", "author" : [ { "dropping-particle" : "", "family" : "Henselmann", "given" : "Klaus", "non-dropping-particle" : "", "parse-names" : false, "suffix" : "" }, { "dropping-particle" : "", "family" : "Ditter", "given" : "Dominik", "non-dropping-particle" : "", "parse-names" : false, "suffix" : "" }, { "dropping-particle" : "", "family" : "Scherr", "given" : "Elisabeth", "non-dropping-particle" : "", "parse-names" : false, "suffix" : "" } ], "container-title" : "Journal of Emerging Technologies in Accounting", "id" : "ITEM-1", "issue" : "1", "issued" : { "date-parts" : [ [ "2015" ] ] }, "page" : "117-151", "title" : "Irregularities in Accounting Numbers and Earnings Management \u2013 A Novel Approach Based on SEC XBRL Filings", "type" : "article-journal", "volume" : "12" }, "uris" : [ "http://www.mendeley.com/documents/?uuid=828184f6-d887-4a07-9577-f15ed3a4d09e" ] } ], "mendeley" : { "formattedCitation" : "(Henselmann et al., 2015)", "plainTextFormattedCitation" : "(Henselmann et al., 2015)", "previouslyFormattedCitation" : "(Henselmann et al., 2015)"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w:t>
      </w:r>
      <w:proofErr w:type="spellStart"/>
      <w:r w:rsidRPr="00420450">
        <w:rPr>
          <w:rFonts w:asciiTheme="majorBidi" w:hAnsiTheme="majorBidi" w:cstheme="majorBidi"/>
          <w:b w:val="0"/>
          <w:noProof/>
          <w:sz w:val="21"/>
          <w:szCs w:val="21"/>
          <w:lang w:bidi="he-IL"/>
        </w:rPr>
        <w:t>Henselmann</w:t>
      </w:r>
      <w:proofErr w:type="spellEnd"/>
      <w:r w:rsidRPr="00420450">
        <w:rPr>
          <w:rFonts w:asciiTheme="majorBidi" w:hAnsiTheme="majorBidi" w:cstheme="majorBidi"/>
          <w:b w:val="0"/>
          <w:noProof/>
          <w:sz w:val="21"/>
          <w:szCs w:val="21"/>
          <w:lang w:bidi="he-IL"/>
        </w:rPr>
        <w:t xml:space="preserve"> et al., 2015)</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w:t>
      </w:r>
    </w:p>
    <w:p w:rsidR="00530BF5" w:rsidRPr="00420450"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 xml:space="preserve">XBRL has the potential to streamline internal accounting practices leading to cost savings and improved efficiency and effectiveness in the accounting and finance function as well as enhanced internal control leading to cost savings and improved efficiency </w:t>
      </w:r>
      <w:r w:rsidRPr="00420450">
        <w:rPr>
          <w:rFonts w:asciiTheme="majorBidi" w:hAnsiTheme="majorBidi" w:cstheme="majorBidi"/>
          <w:b w:val="0"/>
          <w:sz w:val="21"/>
          <w:szCs w:val="21"/>
          <w:lang w:bidi="he-IL"/>
        </w:rPr>
        <w:fldChar w:fldCharType="begin" w:fldLock="1"/>
      </w:r>
      <w:r w:rsidR="007A0C89">
        <w:rPr>
          <w:rFonts w:asciiTheme="majorBidi" w:hAnsiTheme="majorBidi" w:cstheme="majorBidi"/>
          <w:b w:val="0"/>
          <w:sz w:val="21"/>
          <w:szCs w:val="21"/>
          <w:lang w:bidi="he-IL"/>
        </w:rPr>
        <w:instrText>ADDIN CSL_CITATION { "citationItems" : [ { "id" : "ITEM-1", "itemData" : { "DOI" : "10.4192/1577-8517-v9", "abstract" : "incorporating an instance document example, we suggest a framework linking the Resource-Event-Agent (REA) model and eXtensible Business Reporting Language Global Ledger (XBRL GL) as a way to extend the generalized XBRL GL taxonomy. Using the REA semantic model to extend the existing XBRL GL taxonomy provides an ontology and associated process that is reusable. The resulting framework can provide uniform access to information and more reporting and query permutations, thereby facilitating more comprehensive and timely business reporting.", "author" : [ { "dropping-particle" : "", "family" : "Amrhein", "given" : "Denise G.", "non-dropping-particle" : "", "parse-names" : false, "suffix" : "" }, { "dropping-particle" : "", "family" : "Farewell", "given" : "Stephanie", "non-dropping-particle" : "", "parse-names" : false, "suffix" : "" }, { "dropping-particle" : "", "family" : "Pinsker", "given" : "Robert", "non-dropping-particle" : "", "parse-names" : false, "suffix" : "" } ], "container-title" : "The International Journal of Digital Accounting Research", "id" : "ITEM-1", "issued" : { "date-parts" : [ [ "2009" ] ] }, "page" : "127-152", "title" : "REA and XBRL GL : Synergies for the 21 st Century Business Reporting System", "type" : "article-journal", "volume" : "9" }, "uris" : [ "http://www.mendeley.com/documents/?uuid=0db3cbe3-7721-4788-97ee-dd6b94c0a244" ] } ], "mendeley" : { "formattedCitation" : "(Amrhein, Farewell, &amp; Pinsker, 2009)", "plainTextFormattedCitation" : "(Amrhein, Farewell, &amp; Pinsker, 2009)", "previouslyFormattedCitation" : "(Amrhein, Farewell, &amp; Pinsker, 2009)"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0043048D" w:rsidRPr="00420450">
        <w:rPr>
          <w:rFonts w:asciiTheme="majorBidi" w:hAnsiTheme="majorBidi" w:cstheme="majorBidi"/>
          <w:b w:val="0"/>
          <w:noProof/>
          <w:sz w:val="21"/>
          <w:szCs w:val="21"/>
          <w:lang w:bidi="he-IL"/>
        </w:rPr>
        <w:t>(Amrhein, Farewell, &amp; Pinsker, 2009)</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w:t>
      </w:r>
    </w:p>
    <w:p w:rsidR="00397B99" w:rsidRPr="00420450" w:rsidRDefault="00397B99" w:rsidP="00397B99">
      <w:pPr>
        <w:rPr>
          <w:rFonts w:asciiTheme="majorBidi" w:hAnsiTheme="majorBidi" w:cstheme="majorBidi"/>
          <w:b/>
          <w:sz w:val="21"/>
          <w:szCs w:val="21"/>
        </w:rPr>
      </w:pPr>
      <w:r w:rsidRPr="00397B99">
        <w:rPr>
          <w:rFonts w:asciiTheme="majorBidi" w:hAnsiTheme="majorBidi" w:cstheme="majorBidi"/>
          <w:bCs/>
          <w:sz w:val="21"/>
          <w:szCs w:val="21"/>
        </w:rPr>
        <w:fldChar w:fldCharType="begin" w:fldLock="1"/>
      </w:r>
      <w:r w:rsidRPr="00397B99">
        <w:rPr>
          <w:rFonts w:asciiTheme="majorBidi" w:hAnsiTheme="majorBidi" w:cstheme="majorBidi"/>
          <w:bCs/>
          <w:sz w:val="21"/>
          <w:szCs w:val="21"/>
        </w:rPr>
        <w:instrText>ADDIN CSL_CITATION { "citationItems" : [ { "id" : "ITEM-1", "itemData" : { "DOI" : "10.2308/isys-50922", "ISBN" : "1558-7959", "ISSN" : "0888-7985", "abstract" : "Compustat is frequently used for both research and decision making. It has been documented that information found in the Compustat database differs from both the information found in other accounting databases and the information disclosed in corporate financial filings (San Miguel 1977; Rosenberg and Houglet 1974; Yang, Vasarhelyi, and Liu 2003; Tallapally, Luehlfing, and Motha 2011, 2012; Boritz and No 2013). In this study, we conduct the first large-scale comparison of Compustat and 10-K data. Specifically, we compare 30 accounting line items of approximately 5,000 companies for the period from October 1, 2011 to September 30, 2012. We find that the values reported in Compustat significantly differ from the values reported in 10-K filings. We also find that the amount and magnitude of the original data alterations introduced by Compustat depend on the type of the accounting item and company characteristics, such as industry and size.", "author" : [ { "dropping-particle" : "", "family" : "Chychyla", "given" : "Roman", "non-dropping-particle" : "", "parse-names" : false, "suffix" : "" }, { "dropping-particle" : "", "family" : "Kogan", "given" : "Alexander", "non-dropping-particle" : "", "parse-names" : false, "suffix" : "" } ], "container-title" : "Journal of Information Systems", "id" : "ITEM-1", "issue" : "1", "issued" : { "date-parts" : [ [ "2015" ] ] }, "page" : "37-72", "title" : "Using XBRL to Conduct a Large-Scale Study of Discrepancies between the Accounting Numbers in Compustat and SEC 10-K Filings", "type" : "article-journal", "volume" : "29" }, "uris" : [ "http://www.mendeley.com/documents/?uuid=b1a73be2-fda4-478c-9d59-f4f0802a1b89" ] } ], "mendeley" : { "formattedCitation" : "(Chychyla &amp; Kogan, 2015)", "plainTextFormattedCitation" : "(Chychyla &amp; Kogan, 2015)", "previouslyFormattedCitation" : "(Chychyla &amp; Kogan, 2015)" }, "properties" : {  }, "schema" : "https://github.com/citation-style-language/schema/raw/master/csl-citation.json" }</w:instrText>
      </w:r>
      <w:r w:rsidRPr="00397B99">
        <w:rPr>
          <w:rFonts w:asciiTheme="majorBidi" w:hAnsiTheme="majorBidi" w:cstheme="majorBidi"/>
          <w:bCs/>
          <w:sz w:val="21"/>
          <w:szCs w:val="21"/>
        </w:rPr>
        <w:fldChar w:fldCharType="separate"/>
      </w:r>
      <w:r w:rsidRPr="00397B99">
        <w:rPr>
          <w:rFonts w:asciiTheme="majorBidi" w:hAnsiTheme="majorBidi" w:cstheme="majorBidi"/>
          <w:bCs/>
          <w:noProof/>
          <w:sz w:val="21"/>
          <w:szCs w:val="21"/>
        </w:rPr>
        <w:t>(Chychyla &amp; Kogan, 2015)</w:t>
      </w:r>
      <w:r w:rsidRPr="00397B99">
        <w:rPr>
          <w:rFonts w:asciiTheme="majorBidi" w:hAnsiTheme="majorBidi" w:cstheme="majorBidi"/>
          <w:bCs/>
          <w:sz w:val="21"/>
          <w:szCs w:val="21"/>
        </w:rPr>
        <w:fldChar w:fldCharType="end"/>
      </w:r>
      <w:r>
        <w:rPr>
          <w:rFonts w:asciiTheme="majorBidi" w:hAnsiTheme="majorBidi" w:cstheme="majorBidi"/>
          <w:b/>
          <w:sz w:val="21"/>
          <w:szCs w:val="21"/>
        </w:rPr>
        <w:t xml:space="preserve"> </w:t>
      </w:r>
      <w:r w:rsidRPr="00397B99">
        <w:rPr>
          <w:rFonts w:asciiTheme="majorBidi" w:hAnsiTheme="majorBidi" w:cstheme="majorBidi"/>
          <w:bCs/>
          <w:sz w:val="21"/>
          <w:szCs w:val="21"/>
        </w:rPr>
        <w:t>demonstrate</w:t>
      </w:r>
      <w:r>
        <w:rPr>
          <w:rFonts w:asciiTheme="majorBidi" w:hAnsiTheme="majorBidi" w:cstheme="majorBidi"/>
          <w:bCs/>
          <w:sz w:val="21"/>
          <w:szCs w:val="21"/>
        </w:rPr>
        <w:t>d, based on the filings of five thousand companies,</w:t>
      </w:r>
      <w:r w:rsidRPr="00397B99">
        <w:rPr>
          <w:rFonts w:asciiTheme="majorBidi" w:hAnsiTheme="majorBidi" w:cstheme="majorBidi"/>
          <w:bCs/>
          <w:sz w:val="21"/>
          <w:szCs w:val="21"/>
        </w:rPr>
        <w:t xml:space="preserve"> how XBRL data</w:t>
      </w:r>
      <w:r w:rsidR="00A77759">
        <w:rPr>
          <w:rFonts w:asciiTheme="majorBidi" w:hAnsiTheme="majorBidi" w:cstheme="majorBidi"/>
          <w:bCs/>
          <w:sz w:val="21"/>
          <w:szCs w:val="21"/>
        </w:rPr>
        <w:t xml:space="preserve"> </w:t>
      </w:r>
      <w:r w:rsidRPr="00397B99">
        <w:rPr>
          <w:rFonts w:asciiTheme="majorBidi" w:hAnsiTheme="majorBidi" w:cstheme="majorBidi"/>
          <w:bCs/>
          <w:sz w:val="21"/>
          <w:szCs w:val="21"/>
        </w:rPr>
        <w:t>can be utilized in an automated large-scale fashion to extract and process commonly used accounting numbers.</w:t>
      </w:r>
    </w:p>
    <w:p w:rsidR="00530BF5" w:rsidRPr="00420450" w:rsidRDefault="008572BC" w:rsidP="007A0C89">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fldChar w:fldCharType="begin" w:fldLock="1"/>
      </w:r>
      <w:r w:rsidR="007A0C89">
        <w:rPr>
          <w:rFonts w:asciiTheme="majorBidi" w:hAnsiTheme="majorBidi" w:cstheme="majorBidi"/>
          <w:b w:val="0"/>
          <w:sz w:val="21"/>
          <w:szCs w:val="21"/>
          <w:lang w:bidi="he-IL"/>
        </w:rPr>
        <w:instrText>ADDIN CSL_CITATION { "citationItems" : [ { "id" : "ITEM-1", "itemData" : { "DOI" : "10.1108/LODJ-03-2012-0043", "ISBN" : "0262171021042", "ISSN" : "1871-3173", "PMID" : "42012058", "abstract" : "Purpose \u2013 This study aims to examine the role that cultural dimensions at the accounting subculture level play in the relation between XBRL mandate and quality of financial information environment. Design/methodology/approach \u2013 Analyst forecast accuracy with empirical data of firms from six nations is assessed. Findings \u2013 Results show that accounting values across nations play a significant role in influencing information quality change from XBRL mandate. Originality/value \u2013 This research paper is the very first in assessing the role of national culture in realizing information quality improvement value of XBRL.", "author" : [ { "dropping-particle" : "", "family" : "Liu", "given" : "Chunhui", "non-dropping-particle" : "", "parse-names" : false, "suffix" : "" }, { "dropping-particle" : "", "family" : "O\u2019Farrell", "given" : "Grace", "non-dropping-particle" : "", "parse-names" : false, "suffix" : "" } ], "container-title" : "International Journal of Accounting and Information Management", "id" : "ITEM-1", "issue" : "4", "issued" : { "date-parts" : [ [ "2013" ] ] }, "page" : "297-313", "title" : "The role of accounting values in the relation between XBRL and forecast accuracy", "type" : "article-journal", "volume" : "21" }, "uris" : [ "http://www.mendeley.com/documents/?uuid=d1296159-327a-4ab2-9efc-ad5cc070a0d3" ] } ], "mendeley" : { "formattedCitation" : "(Liu &amp; O\u2019Farrell, 2013)", "plainTextFormattedCitation" : "(Liu &amp; O\u2019Farrell, 2013)", "previouslyFormattedCitation" : "(Liu &amp; O\u2019Farrell, 2013)"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0043048D" w:rsidRPr="00420450">
        <w:rPr>
          <w:rFonts w:asciiTheme="majorBidi" w:hAnsiTheme="majorBidi" w:cstheme="majorBidi"/>
          <w:b w:val="0"/>
          <w:noProof/>
          <w:sz w:val="21"/>
          <w:szCs w:val="21"/>
          <w:lang w:bidi="he-IL"/>
        </w:rPr>
        <w:t>(Liu &amp; O’Farrell, 2013)</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examine the ability of XBRL data in terms of improving transparency and quality of financial accounting information as proxied by forecast accuracy. Their results found a significant improvement in analyst forecast accuracy since XBRL mandates. </w:t>
      </w:r>
    </w:p>
    <w:p w:rsidR="00530BF5" w:rsidRPr="00420450"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fldChar w:fldCharType="begin" w:fldLock="1"/>
      </w:r>
      <w:r w:rsidR="007A0C89">
        <w:rPr>
          <w:rFonts w:asciiTheme="majorBidi" w:hAnsiTheme="majorBidi" w:cstheme="majorBidi"/>
          <w:b w:val="0"/>
          <w:sz w:val="21"/>
          <w:szCs w:val="21"/>
          <w:lang w:bidi="he-IL"/>
        </w:rPr>
        <w:instrText>ADDIN CSL_CITATION { "citationItems" : [ { "id" : "ITEM-1", "itemData" : { "DOI" : "10.2308/jeta-51247", "ISSN" : "15587940", "abstract" : "Motivated by the SEC XBRL mandate, this study analyzes the association between irregulari- ties in accounting numbers and earnings management. Because XBRL-structured SEC filings enable the gathering of accounting numbers to be fully automatic in a database-like manner, the SEC XBRL mandate provides vast opportunities for financial analysis that could not be possible with traditional ways of reporting. Based on all XBRL 10-K filings submitted to the SEC for fiscal years 2009\u20132012, we find that firms just beating earnings thresholds exhibit a higher amount of abnormal digit frequencies than firms that clearly miss or beat the bench- mark. Furthermore, we identify several possible monetary line items that may have been ma- nipulated to meet the earnings thresholds. Our findings are consistent with prior studies sug- gesting that firms manipulate accounting numbers surrounding earnings targets. Overall, XBRL-enhanced digit analysis may offer the SEC and investors alike a novel approach to quickly and easily evaluating the reliability of the accounting numbers communicated in fi- nancial reports.", "author" : [ { "dropping-particle" : "", "family" : "Henselmann", "given" : "Klaus", "non-dropping-particle" : "", "parse-names" : false, "suffix" : "" }, { "dropping-particle" : "", "family" : "Ditter", "given" : "Dominik", "non-dropping-particle" : "", "parse-names" : false, "suffix" : "" }, { "dropping-particle" : "", "family" : "Scherr", "given" : "Elisabeth", "non-dropping-particle" : "", "parse-names" : false, "suffix" : "" } ], "container-title" : "Journal of Emerging Technologies in Accounting", "id" : "ITEM-1", "issue" : "1", "issued" : { "date-parts" : [ [ "2015" ] ] }, "page" : "117-151", "title" : "Irregularities in Accounting Numbers and Earnings Management \u2013 A Novel Approach Based on SEC XBRL Filings", "type" : "article-journal", "volume" : "12" }, "uris" : [ "http://www.mendeley.com/documents/?uuid=828184f6-d887-4a07-9577-f15ed3a4d09e" ] } ], "mendeley" : { "formattedCitation" : "(Henselmann et al., 2015)", "plainTextFormattedCitation" : "(Henselmann et al., 2015)", "previouslyFormattedCitation" : "(Henselmann et al., 2015)"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(Henselmann et al., 2015)</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state that the XBRL data may provide the SEC and investors a simple measure to flag financial reports carrying higher probability of human interaction. Their study, which was based on XBRL 10-K filings submitted to the SEC between July 2009 and March 2013, measured a firm-year-level of abnormal digit frequency and explored its association with earnings quality. Their findings are consistent with the underlying assumption that higher manipulation of earnings is reflected in higher irregularities in the frequency of digits in accounting numbers reported in the financial reports, which may indicate lower earnings quality.</w:t>
      </w:r>
    </w:p>
    <w:p w:rsidR="00530BF5"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 xml:space="preserve">Other studies found that XBRL is a useful tool not only for investors but for other financial decisions, such as loan decisions regarding loan size and interest rates </w:t>
      </w:r>
      <w:r w:rsidRPr="00420450">
        <w:rPr>
          <w:rFonts w:asciiTheme="majorBidi" w:hAnsiTheme="majorBidi" w:cstheme="majorBidi"/>
          <w:b w:val="0"/>
          <w:sz w:val="21"/>
          <w:szCs w:val="21"/>
          <w:lang w:bidi="he-IL"/>
        </w:rPr>
        <w:fldChar w:fldCharType="begin" w:fldLock="1"/>
      </w:r>
      <w:r w:rsidR="007A0C89">
        <w:rPr>
          <w:rFonts w:asciiTheme="majorBidi" w:hAnsiTheme="majorBidi" w:cstheme="majorBidi"/>
          <w:b w:val="0"/>
          <w:sz w:val="21"/>
          <w:szCs w:val="21"/>
          <w:lang w:bidi="he-IL"/>
        </w:rPr>
        <w:instrText>ADDIN CSL_CITATION { "citationItems" : [ { "id" : "ITEM-1", "itemData" : { "DOI" : "10.1016/j.jaccpubpol.2016.04.003", "ISSN" : "18732070", "abstract" : "A growing body of literature documents how different parties benefit from structured data across the information supply chain. The purpose of this study is to examine the effect of voluntary adoption of the eXtensible Business Reporting Language (XBRL) on price and non-price terms of loan contracting. Using a sample of Belgian private firms, the analyses provide evidence that banks charge lower interest rate spreads to voluntary adopters as compared to non-adopters. The results also show that loan sizes are larger in comparison for voluntary adopters of XBRL. Further, the effect of XBRL adoption is stronger for opaque firms. The results are robust to using different estimation approaches as well as additional tests. The findings are in line with the view that XBRL data filings reduce information processing costs, and contribute to our understanding of the impact of structured data on loan contracting \u2013 an implication that may be of interest to regulators and other parties interested in the benefits of structured data across the information supply chain.", "author" : [ { "dropping-particle" : "", "family" : "Kaya", "given" : "Devrimi", "non-dropping-particle" : "", "parse-names" : false, "suffix" : "" }, { "dropping-particle" : "", "family" : "Pronobis", "given" : "Paul", "non-dropping-particle" : "", "parse-names" : false, "suffix" : "" } ], "container-title" : "Journal of Accounting and Public Policy", "id" : "ITEM-1", "issue" : "4", "issued" : { "date-parts" : [ [ "2016" ] ] }, "title" : "The benefits of structured data across the information supply chain: Initial evidence on XBRL adoption and loan contracting of private firms", "type" : "article-journal", "volume" : "35" }, "uris" : [ "http://www.mendeley.com/documents/?uuid=aee5aab2-8cd2-3a5b-b6ef-8496a119469f" ] } ], "mendeley" : { "formattedCitation" : "(Kaya &amp; Pronobis, 2016)", "plainTextFormattedCitation" : "(Kaya &amp; Pronobis, 2016)", "previouslyFormattedCitation" : "(Kaya &amp; Pronobis, 2016)"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0043048D" w:rsidRPr="00420450">
        <w:rPr>
          <w:rFonts w:asciiTheme="majorBidi" w:hAnsiTheme="majorBidi" w:cstheme="majorBidi"/>
          <w:b w:val="0"/>
          <w:noProof/>
          <w:sz w:val="21"/>
          <w:szCs w:val="21"/>
          <w:lang w:bidi="he-IL"/>
        </w:rPr>
        <w:t>(Kaya &amp; Pronobis, 2016)</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w:t>
      </w:r>
    </w:p>
    <w:p w:rsidR="005530C2" w:rsidRPr="00420450" w:rsidRDefault="005530C2" w:rsidP="005530C2">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 xml:space="preserve">There have been a couple of attempts to use XBRL data in </w:t>
      </w:r>
      <w:r w:rsidR="00D540AB">
        <w:rPr>
          <w:rFonts w:asciiTheme="majorBidi" w:hAnsiTheme="majorBidi" w:cstheme="majorBidi"/>
          <w:b w:val="0"/>
          <w:sz w:val="21"/>
          <w:szCs w:val="21"/>
          <w:lang w:bidi="he-IL"/>
        </w:rPr>
        <w:t>predicting</w:t>
      </w:r>
      <w:r w:rsidRPr="00420450">
        <w:rPr>
          <w:rFonts w:asciiTheme="majorBidi" w:hAnsiTheme="majorBidi" w:cstheme="majorBidi"/>
          <w:b w:val="0"/>
          <w:sz w:val="21"/>
          <w:szCs w:val="21"/>
          <w:lang w:bidi="he-IL"/>
        </w:rPr>
        <w:t xml:space="preserve"> changes in earnings.</w:t>
      </w: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"author" : [ { "dropping-particle" : "", "family" : "Williams", "given" : "Kelly L", "non-dropping-particle" : "", "parse-names" : false, "suffix" : "" } ], "id" : "ITEM-1", "issue" : "August", "issued" : { "date-parts" : [ [ "2015" ] ] }, "title" : "The Prediction of Future Earnings Using Financial Statement Information: Are XBRL Company Filings up to the Task?", "type" : "report" }, "uris" : [ "http://www.mendeley.com/documents/?uuid=84aca0ab-a29e-4cbf-b95b-5c84ac0b66fd" ] } ], "mendeley" : { "formattedCitation" : "(Williams, 2015)", "plainTextFormattedCitation" : "(Williams, 2015)", "previouslyFormattedCitation" : "(Williams, 2015)"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(Williams, 2015)</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investigated whether XBRL company filings, filed in the years 2007-2009 may be used in models attempting to predict future earnings. The study examined whether 70 accounting concepts, extracted from S&amp;P 500 companies XBRL filings, provided adequate data needed to create earnings prediction models </w:t>
      </w: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"id" : "ITEM-2", "itemData" : { "ISBN" : "0001-4826", "abstract" : "We examine whether the application of fundamental analysis can yield significant abnormal returns. Using a collection of signals that reflect traditional rules of fundamental analysis related to contemporaneous changes in inventories, accounts receivables, gross margins, selling expenses, capital expenditures, effective tax rates, inventory methods, audit qualifications, and labor force sales productivity, we form portfolios that earn an average 12- month cumulative size-adjusted abnormal return of 13.2 percent. We find ev- idence that the fundamental signals provide information about future returns that is associated with future earnings news. Moreover, a significant portion of the abnormal returns is generated around subsequent earnings announce- ments. These findings are consistent with the underlying focus of fundamental analysis on the prediction of earnings. Significant abnormal returns to the fun- damental strategy are not earned after the end of one year of return cumu- lation, indicating little support for the idea that the signals capture information about multiple-year-ahead earnings not immediately impounded in price or about long-term shifts in firm risk. Additional analysis on a holdout sample suggests that the strategy continues to generate abnormal returns in a period subsequent to the introduction of the fundamental signals in the literature, and contextual analyses indicate that the strategy performs better for certain types of firms (e.g., firms with prior bad news). Key", "author" : [ { "dropping-particle" : "", "family" : "Abarbanell", "given" : "Jeffery", "non-dropping-particle" : "", "parse-names" : false, "suffix" : "" }, { "dropping-particle" : "", "family" : "Bushee", "given" : "Brian J", "non-dropping-particle" : "", "parse-names" : false, "suffix" : "" } ], "container-title" : "The Accounting Review", "id" : "ITEM-2", "issue" : "1", "issued" : { "date-parts" : [ [ "1998" ] ] }, "page" : "19-45", "title" : "Abnormal Returns to a Fundamental Analysis Jeffery S . Abarbanell University of North Carolina at Chapel Hill", "type" : "article-journal", "volume" : "73" }, "uris" : [ "http://www.mendeley.com/documents/?uuid=69dc910c-cb36-4e51-ab43-3d2214406a57" ] } ], "mendeley" : { "formattedCitation" : "(Abarbanell &amp; Bushee, 1998; Ou &amp; Penman, 1989)", "plainTextFormattedCitation" : "(Abarbanell &amp; Bushee, 1998; Ou &amp; Penman, 1989)", "previouslyFormattedCitation" : "(Abarbanell &amp; Bushee, 1998; Ou &amp; Penman, 1989)"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(Abarbanell &amp; Bushee, 1998; Ou &amp; Penman, 1989)</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and what modifications would make XBRL much more useful. The findings of the study were that XBRL filings, during the investigated period, could not be used to create earnings prediction models; however, adjusting the data, by populating any missing accounting concepts, </w:t>
      </w:r>
      <w:r w:rsidR="00D540AB">
        <w:rPr>
          <w:rFonts w:asciiTheme="majorBidi" w:hAnsiTheme="majorBidi" w:cstheme="majorBidi"/>
          <w:b w:val="0"/>
          <w:sz w:val="21"/>
          <w:szCs w:val="21"/>
          <w:lang w:bidi="he-IL"/>
        </w:rPr>
        <w:t>did enable earnings prediction</w:t>
      </w:r>
      <w:r w:rsidRPr="00420450">
        <w:rPr>
          <w:rFonts w:asciiTheme="majorBidi" w:hAnsiTheme="majorBidi" w:cstheme="majorBidi"/>
          <w:b w:val="0"/>
          <w:sz w:val="21"/>
          <w:szCs w:val="21"/>
          <w:lang w:bidi="he-IL"/>
        </w:rPr>
        <w:t>.</w:t>
      </w:r>
    </w:p>
    <w:p w:rsidR="005530C2" w:rsidRPr="00420450" w:rsidRDefault="005530C2" w:rsidP="005530C2">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"DOI" : "10.4172/2472-114X.1000143", "ISSN" : "2472114X", "author" : [ { "dropping-particle" : "", "family" : "Baranes", "given" : "Amos", "non-dropping-particle" : "", "parse-names" : false, "suffix" : "" }, { "dropping-particle" : "", "family" : "Palas", "given" : "Rimona", "non-dropping-particle" : "", "parse-names" : false, "suffix" : "" } ], "container-title" : "International Journal of Accounting Research", "id" : "ITEM-1", "issued" : { "date-parts" : [ [ "2017" ] ] }, "title" : "The Prediction of Earnings Movements Using Accounting Data: Using XBRL", "type" : "article-journal" }, "uris" : [ "http://www.mendeley.com/documents/?uuid=1dbaaeac-12c5-3743-9649-1ab91c3c3407" ] } ], "mendeley" : { "formattedCitation" : "(Baranes &amp; Palas, 2017)", "plainTextFormattedCitation" : "(Baranes &amp; Palas, 2017)", "previouslyFormattedCitation" : "(Baranes &amp; Palas, 2017)"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(Baranes &amp; Palas, 2017)</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reexamined the usefulness of XBRL S&amp;P 500 company filings in the prediction of future earnings, in the years 2011-2015. Their results show that these filings, without any modifications, were not only useful in predicting future earnings changes, based on the </w:t>
      </w: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"mendeley" : { "formattedCitation" : "(Ou &amp; Penman, 1989)", "plainTextFormattedCitation" : "(Ou &amp; Penman, 1989)", "previouslyFormattedCitation" : "(Ou &amp; Penman, 1989)"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(Ou &amp; Penman, 1989)</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model, but provided better predictions than previous models using COMPUSTAT data.</w:t>
      </w:r>
    </w:p>
    <w:p w:rsidR="008572BC" w:rsidRPr="00420450" w:rsidRDefault="008572BC" w:rsidP="00420450">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Although XBRL data and its study is still at the early stage these studies suggest that XBRL data is a useful and accurate tool for financial statement analysis and may be used to predict the direction of future movement in earnings.</w:t>
      </w:r>
    </w:p>
    <w:p w:rsidR="00EF09C0" w:rsidRDefault="00EF09C0" w:rsidP="00420450">
      <w:pPr>
        <w:pStyle w:val="2"/>
      </w:pPr>
      <w:r>
        <w:t xml:space="preserve">Limitations of </w:t>
      </w:r>
      <w:r w:rsidR="00CB161B">
        <w:t>XBRL data</w:t>
      </w:r>
    </w:p>
    <w:p w:rsidR="002D273E" w:rsidRDefault="002D273E" w:rsidP="002D273E">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The aim of the SEC XBRL mandate is to decrease information asymmetry by improving the information processing capability of regulatory filings</w:t>
      </w: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"author" : [ { "dropping-particle" : "", "family" : "SEC", "given" : "", "non-dropping-particle" : "", "parse-names" : false, "suffix" : "" } ], "id" : "ITEM-1", "issued" : { "date-parts" : [ [ "2009" ] ] }, "publisher-place" : "Washington D.C.", "title" : "Interactive Data to Improve Financial Reporting. Release Nos. 33-9002, 34-59324; 39-2461; IC-28609.", "type" : "report" }, "uris" : [ "http://www.mendeley.com/documents/?uuid=3d1645aa-03eb-4038-8a1f-20822bdd4c8d" ] } ], "mendeley" : { "formattedCitation" : "(SEC, 2009)", "plainTextFormattedCitation" : "(SEC, 2009)", "previouslyFormattedCitation" : "(SEC, 2009)"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(SEC, 2009)</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XBRL-structured SEC filings are expected to improve data gathering and analyses by reducing manual data entries, and bringing all filings to a "common ground". </w:t>
      </w:r>
      <w:r>
        <w:rPr>
          <w:rFonts w:asciiTheme="majorBidi" w:hAnsiTheme="majorBidi" w:cstheme="majorBidi"/>
          <w:b w:val="0"/>
          <w:sz w:val="21"/>
          <w:szCs w:val="21"/>
          <w:lang w:bidi="he-IL"/>
        </w:rPr>
        <w:t>However, e</w:t>
      </w:r>
      <w:r w:rsidRPr="00420450">
        <w:rPr>
          <w:rFonts w:asciiTheme="majorBidi" w:hAnsiTheme="majorBidi" w:cstheme="majorBidi"/>
          <w:b w:val="0"/>
          <w:sz w:val="21"/>
          <w:szCs w:val="21"/>
          <w:lang w:bidi="he-IL"/>
        </w:rPr>
        <w:t>arly research has found inconsistencies, errors, or unnecessary extensions in the XBRL filings</w:t>
      </w:r>
      <w:r>
        <w:rPr>
          <w:rFonts w:asciiTheme="majorBidi" w:hAnsiTheme="majorBidi" w:cstheme="majorBidi"/>
          <w:b w:val="0"/>
          <w:sz w:val="21"/>
          <w:szCs w:val="21"/>
          <w:lang w:bidi="he-IL"/>
        </w:rPr>
        <w:t>.</w:t>
      </w:r>
    </w:p>
    <w:p w:rsidR="006B3727" w:rsidRDefault="002D273E" w:rsidP="002D273E">
      <w:pPr>
        <w:ind w:left="0"/>
        <w:rPr>
          <w:rFonts w:asciiTheme="majorBidi" w:hAnsiTheme="majorBidi" w:cstheme="majorBidi"/>
          <w:sz w:val="21"/>
          <w:szCs w:val="21"/>
        </w:rPr>
      </w:pPr>
      <w:r>
        <w:rPr>
          <w:rFonts w:asciiTheme="majorBidi" w:hAnsiTheme="majorBidi" w:cstheme="majorBidi"/>
          <w:sz w:val="21"/>
          <w:szCs w:val="21"/>
        </w:rPr>
        <w:tab/>
      </w:r>
      <w:r w:rsidR="00D62DF3">
        <w:rPr>
          <w:rFonts w:asciiTheme="majorBidi" w:hAnsiTheme="majorBidi" w:cstheme="majorBidi"/>
          <w:sz w:val="21"/>
          <w:szCs w:val="21"/>
        </w:rPr>
        <w:fldChar w:fldCharType="begin" w:fldLock="1"/>
      </w:r>
      <w:r w:rsidR="00D62DF3">
        <w:rPr>
          <w:rFonts w:asciiTheme="majorBidi" w:hAnsiTheme="majorBidi" w:cstheme="majorBidi"/>
          <w:sz w:val="21"/>
          <w:szCs w:val="21"/>
        </w:rPr>
        <w:instrText>ADDIN CSL_CITATION { "citationItems" : [ { "id" : "ITEM-1", "itemData" : { "author" : [ { "dropping-particle" : "", "family" : "Boritz", "given" : "J. Efrim", "non-dropping-particle" : "", "parse-names" : false, "suffix" : "" }, { "dropping-particle" : "", "family" : "No", "given" : "Won Gyun", "non-dropping-particle" : "", "parse-names" : false, "suffix" : "" } ], "container-title" : "Current", "id" : "ITEM-1", "issue" : "2", "issued" : { "date-parts" : [ [ "2008" ] ] }, "page" : "A36-A50", "title" : "SEC\u2019s XBRL voluntary program on EDGAR: A case for quality assurance", "type" : "article-journal", "volume" : "2" }, "uris" : [ "http://www.mendeley.com/documents/?uuid=bf773ff8-5a6c-4a95-831b-150c93c3e851" ] } ], "mendeley" : { "formattedCitation" : "(Boritz &amp; No, 2008)", "plainTextFormattedCitation" : "(Boritz &amp; No, 2008)", "previouslyFormattedCitation" : "(Boritz &amp; No, 2008)" }, "properties" : {  }, "schema" : "https://github.com/citation-style-language/schema/raw/master/csl-citation.json" }</w:instrText>
      </w:r>
      <w:r w:rsidR="00D62DF3">
        <w:rPr>
          <w:rFonts w:asciiTheme="majorBidi" w:hAnsiTheme="majorBidi" w:cstheme="majorBidi"/>
          <w:sz w:val="21"/>
          <w:szCs w:val="21"/>
        </w:rPr>
        <w:fldChar w:fldCharType="separate"/>
      </w:r>
      <w:r w:rsidR="00D62DF3" w:rsidRPr="00D62DF3">
        <w:rPr>
          <w:rFonts w:asciiTheme="majorBidi" w:hAnsiTheme="majorBidi" w:cstheme="majorBidi"/>
          <w:noProof/>
          <w:sz w:val="21"/>
          <w:szCs w:val="21"/>
        </w:rPr>
        <w:t>(Boritz &amp; No, 2008)</w:t>
      </w:r>
      <w:r w:rsidR="00D62DF3">
        <w:rPr>
          <w:rFonts w:asciiTheme="majorBidi" w:hAnsiTheme="majorBidi" w:cstheme="majorBidi"/>
          <w:sz w:val="21"/>
          <w:szCs w:val="21"/>
        </w:rPr>
        <w:fldChar w:fldCharType="end"/>
      </w:r>
      <w:r w:rsidR="00D62DF3">
        <w:rPr>
          <w:rFonts w:asciiTheme="majorBidi" w:hAnsiTheme="majorBidi" w:cstheme="majorBidi"/>
          <w:sz w:val="21"/>
          <w:szCs w:val="21"/>
        </w:rPr>
        <w:t xml:space="preserve"> were among the first researchers to study this issue, they examined the XBRL data filed with the XBRL Voluntary Filing Program from its inception in 2007. </w:t>
      </w:r>
      <w:r w:rsidR="00074F92">
        <w:rPr>
          <w:rFonts w:asciiTheme="majorBidi" w:hAnsiTheme="majorBidi" w:cstheme="majorBidi"/>
          <w:sz w:val="21"/>
          <w:szCs w:val="21"/>
        </w:rPr>
        <w:t xml:space="preserve">Their results showed that </w:t>
      </w:r>
      <w:r w:rsidR="006B3727">
        <w:rPr>
          <w:rFonts w:asciiTheme="majorBidi" w:hAnsiTheme="majorBidi" w:cstheme="majorBidi"/>
          <w:sz w:val="21"/>
          <w:szCs w:val="21"/>
        </w:rPr>
        <w:t xml:space="preserve">while 89.4% of the filings passed their taxonomy validation tests, only 34.2% of the filings passed the instance document validation test, and none of the companies passed the Financial Reporting Instance Standards and Financial Reporting Taxonomies Architecture validation. The authors believed that a significant number of errors in the filings were due to the use of some form of extension taxonomy. </w:t>
      </w:r>
    </w:p>
    <w:p w:rsidR="0072437C" w:rsidRDefault="0072437C" w:rsidP="00CB161B">
      <w:pPr>
        <w:rPr>
          <w:rFonts w:asciiTheme="majorBidi" w:hAnsiTheme="majorBidi" w:cstheme="majorBidi"/>
          <w:sz w:val="21"/>
          <w:szCs w:val="21"/>
        </w:rPr>
      </w:pPr>
      <w:r>
        <w:rPr>
          <w:rFonts w:asciiTheme="majorBidi" w:hAnsiTheme="majorBidi" w:cstheme="majorBidi"/>
          <w:sz w:val="21"/>
          <w:szCs w:val="21"/>
        </w:rPr>
        <w:fldChar w:fldCharType="begin" w:fldLock="1"/>
      </w:r>
      <w:r>
        <w:rPr>
          <w:rFonts w:asciiTheme="majorBidi" w:hAnsiTheme="majorBidi" w:cstheme="majorBidi"/>
          <w:sz w:val="21"/>
          <w:szCs w:val="21"/>
        </w:rPr>
        <w:instrText>ADDIN CSL_CITATION { "citationItems" : [ { "id" : "ITEM-1", "itemData" : { "DOI" : "10.1016/j.jaccpubpol.2010.04.001", "ISBN" : "0278-4254", "ISSN" : "02784254", "abstract" : "In 2009, the Securities and Exchange Commission rolled out the first stage of a multi-year program to transition its EDGAR disclosure repository to the XBRL format. The quality of the XBRL data in the repository is vital for the success of the Commission's interactive data program. A key aspect of the data quality of these filings is the correctness of the mathematical relationships implied by the taxonomy and implemented in the instance document. One quarter of the filings by the initial 400 large corporations in the first round of submissions had errors, with differences reported monetary facts and the sum of other monetary facts that were bound together in a computation relationship. The primary cause of these errors was inappropriate treatment in the instance documents of underlying debit/credit assumptions in the taxonomy. The results of the research have a number of implications for filers, the SEC, XBRL US, software vendors and the global XBRL community. ?? 2010 Elsevier Inc.", "author" : [ { "dropping-particle" : "", "family" : "Debreceny", "given" : "Roger", "non-dropping-particle" : "", "parse-names" : false, "suffix" : "" }, { "dropping-particle" : "", "family" : "Farewell", "given" : "Stephanie", "non-dropping-particle" : "", "parse-names" : false, "suffix" : "" }, { "dropping-particle" : "", "family" : "Piechocki", "given" : "Maciej", "non-dropping-particle" : "", "parse-names" : false, "suffix" : "" }, { "dropping-particle" : "", "family" : "Felden", "given" : "Carsten", "non-dropping-particle" : "", "parse-names" : false, "suffix" : "" }, { "dropping-particle" : "", "family" : "Gr\u00e4ning", "given" : "Andr\u00e9", "non-dropping-particle" : "", "parse-names" : false, "suffix" : "" } ], "container-title" : "Journal of Accounting and Public Policy", "id" : "ITEM-1", "issue" : "3", "issued" : { "date-parts" : [ [ "2010" ] ] }, "page" : "296-306", "publisher" : "Elsevier Inc.", "title" : "Does it add up? Early evidence on the data quality of XBRL filings to the SEC", "type" : "article-journal", "volume" : "29" }, "uris" : [ "http://www.mendeley.com/documents/?uuid=0ff7da13-adfc-4009-920b-a2e418c16082" ] } ], "mendeley" : { "formattedCitation" : "(R. Debreceny et al., 2010)", "plainTextFormattedCitation" : "(R. Debreceny et al., 2010)", "previouslyFormattedCitation" : "(R. Debreceny et al., 2010)" }, "properties" : {  }, "schema" : "https://github.com/citation-style-language/schema/raw/master/csl-citation.json" }</w:instrText>
      </w:r>
      <w:r>
        <w:rPr>
          <w:rFonts w:asciiTheme="majorBidi" w:hAnsiTheme="majorBidi" w:cstheme="majorBidi"/>
          <w:sz w:val="21"/>
          <w:szCs w:val="21"/>
        </w:rPr>
        <w:fldChar w:fldCharType="separate"/>
      </w:r>
      <w:r w:rsidRPr="0072437C">
        <w:rPr>
          <w:rFonts w:asciiTheme="majorBidi" w:hAnsiTheme="majorBidi" w:cstheme="majorBidi"/>
          <w:noProof/>
          <w:sz w:val="21"/>
          <w:szCs w:val="21"/>
        </w:rPr>
        <w:t>(R. Debreceny et al., 2010)</w:t>
      </w:r>
      <w:r>
        <w:rPr>
          <w:rFonts w:asciiTheme="majorBidi" w:hAnsiTheme="majorBidi" w:cstheme="majorBidi"/>
          <w:sz w:val="21"/>
          <w:szCs w:val="21"/>
        </w:rPr>
        <w:fldChar w:fldCharType="end"/>
      </w:r>
      <w:r>
        <w:rPr>
          <w:rFonts w:asciiTheme="majorBidi" w:hAnsiTheme="majorBidi" w:cstheme="majorBidi"/>
          <w:sz w:val="21"/>
          <w:szCs w:val="21"/>
        </w:rPr>
        <w:t xml:space="preserve"> found that one quarter of filers had computational errors, nearly half of the errors were due to errors in application of negative values (inappropriate treatment of credit\debit assumption), an additional quarter of the errors were where one or more members of calculation relationships were either missing or extraneous. </w:t>
      </w:r>
      <w:r w:rsidR="002D3F9F">
        <w:rPr>
          <w:rFonts w:asciiTheme="majorBidi" w:hAnsiTheme="majorBidi" w:cstheme="majorBidi"/>
          <w:sz w:val="21"/>
          <w:szCs w:val="21"/>
        </w:rPr>
        <w:fldChar w:fldCharType="begin" w:fldLock="1"/>
      </w:r>
      <w:r w:rsidR="002D3F9F">
        <w:rPr>
          <w:rFonts w:asciiTheme="majorBidi" w:hAnsiTheme="majorBidi" w:cstheme="majorBidi"/>
          <w:sz w:val="21"/>
          <w:szCs w:val="21"/>
        </w:rPr>
        <w:instrText>ADDIN CSL_CITATION { "citationItems" : [ { "id" : "ITEM-1", "itemData" : { "DOI" : "10.2308/acch-50068", "ISBN" : "08887993", "ISSN" : "08887993", "PMID" : "71100624", "abstract" : "The Securities and Exchange Commission (SEC) has adopted the eXtensible Business Reporting Language (XBRL) in a multi-year program to enhance the functionality of the Commission's EDGAR database. Filers tag their financial statements with elements from a taxonomy that defines the reporting concepts so that the XBRL files can be understood by information consumers. The U.S. GAAP taxonomy was designed to represent common reporting practices and support the disclosure requirements of U.S. GAAP. If taxonomy elements for each disclosure concept are not present, the filer creates an extension element. Extensions, when used appropriately, provide decision-relevant information. When used inappropriately, particularly when a semantically equivalent element already exists in the foundation taxonomy, extensions add no information content. This research analyzes extensions made in a subset of XBRL filings made to the SEC between April 2009 and June 2010. Forty percent of these extensions were unnecessary, as semantically equivalent elements were already in the U.S. GAAP taxonomy. Extensions that aggregated or disaggregated existing elements comprised 21 percent of the extensions. New concepts accounted for 30 percent of the extensions, although many were variants of existing elements, rather than significantly new concepts. [ABSTRACT FROM AUTHOR]", "author" : [ { "dropping-particle" : "", "family" : "Debreceny", "given" : "Roger S.", "non-dropping-particle" : "", "parse-names" : false, "suffix" : "" }, { "dropping-particle" : "", "family" : "Farewell", "given" : "Stephanie M.", "non-dropping-particle" : "", "parse-names" : false, "suffix" : "" }, { "dropping-particle" : "", "family" : "Piechocki", "given" : "Maciej", "non-dropping-particle" : "", "parse-names" : false, "suffix" : "" }, { "dropping-particle" : "", "family" : "Felden", "given" : "Carsten", "non-dropping-particle" : "", "parse-names" : false, "suffix" : "" }, { "dropping-particle" : "", "family" : "Gr\u00e4ning", "given" : "Andre", "non-dropping-particle" : "", "parse-names" : false, "suffix" : "" }, { "dropping-particle" : "", "family" : "D'Eri", "given" : "Alessandro", "non-dropping-particle" : "", "parse-names" : false, "suffix" : "" } ], "container-title" : "Accounting Horizons", "id" : "ITEM-1", "issue" : "4", "issued" : { "date-parts" : [ [ "2011" ] ] }, "page" : "631-657", "title" : "Flex or break? Extensions in XBRL disclosures to the SEC", "type" : "article-journal", "volume" : "25" }, "uris" : [ "http://www.mendeley.com/documents/?uuid=fc558c9e-2aa7-40d4-87f5-07959f4502dd" ] } ], "mendeley" : { "formattedCitation" : "(R. S. Debreceny et al., 2011)", "plainTextFormattedCitation" : "(R. S. Debreceny et al., 2011)", "previouslyFormattedCitation" : "(R. S. Debreceny et al., 2011)" }, "properties" : {  }, "schema" : "https://github.com/citation-style-language/schema/raw/master/csl-citation.json" }</w:instrText>
      </w:r>
      <w:r w:rsidR="002D3F9F">
        <w:rPr>
          <w:rFonts w:asciiTheme="majorBidi" w:hAnsiTheme="majorBidi" w:cstheme="majorBidi"/>
          <w:sz w:val="21"/>
          <w:szCs w:val="21"/>
        </w:rPr>
        <w:fldChar w:fldCharType="separate"/>
      </w:r>
      <w:r w:rsidR="002D3F9F" w:rsidRPr="002D3F9F">
        <w:rPr>
          <w:rFonts w:asciiTheme="majorBidi" w:hAnsiTheme="majorBidi" w:cstheme="majorBidi"/>
          <w:noProof/>
          <w:sz w:val="21"/>
          <w:szCs w:val="21"/>
        </w:rPr>
        <w:t>(R. S. Debreceny et al., 2011)</w:t>
      </w:r>
      <w:r w:rsidR="002D3F9F">
        <w:rPr>
          <w:rFonts w:asciiTheme="majorBidi" w:hAnsiTheme="majorBidi" w:cstheme="majorBidi"/>
          <w:sz w:val="21"/>
          <w:szCs w:val="21"/>
        </w:rPr>
        <w:fldChar w:fldCharType="end"/>
      </w:r>
      <w:r w:rsidR="002D3F9F">
        <w:rPr>
          <w:rFonts w:asciiTheme="majorBidi" w:hAnsiTheme="majorBidi" w:cstheme="majorBidi"/>
          <w:sz w:val="21"/>
          <w:szCs w:val="21"/>
        </w:rPr>
        <w:t xml:space="preserve"> found that 40% of the extensions included in the XBRL filings were unnecessary, the appropriate tags were available in the US GAAP Financial reporting taxonomy. </w:t>
      </w:r>
    </w:p>
    <w:p w:rsidR="002D3F9F" w:rsidRDefault="002D3F9F" w:rsidP="00CB161B">
      <w:pPr>
        <w:rPr>
          <w:rFonts w:asciiTheme="majorBidi" w:hAnsiTheme="majorBidi" w:cstheme="majorBidi"/>
          <w:sz w:val="21"/>
          <w:szCs w:val="21"/>
        </w:rPr>
      </w:pPr>
      <w:r>
        <w:rPr>
          <w:rFonts w:asciiTheme="majorBidi" w:hAnsiTheme="majorBidi" w:cstheme="majorBidi"/>
          <w:sz w:val="21"/>
          <w:szCs w:val="21"/>
        </w:rPr>
        <w:fldChar w:fldCharType="begin" w:fldLock="1"/>
      </w:r>
      <w:r>
        <w:rPr>
          <w:rFonts w:asciiTheme="majorBidi" w:hAnsiTheme="majorBidi" w:cstheme="majorBidi"/>
          <w:sz w:val="21"/>
          <w:szCs w:val="21"/>
        </w:rPr>
        <w:instrText>ADDIN CSL_CITATION { "citationItems" : [ { "id" : "ITEM-1", "itemData" : { "DOI" : "10.1007/s10551-015-2769-z.For", "ISBN" : "1055101527", "ISSN" : "9780983648703", "abstract" : "The issue of the quality of interactive data is of interest to all stakeholders in the evolution of XBRL since the adoption of XBRL is often premised on the value of making business data available to users in a standardized, shareable format. Proponents of XBRL claim that XBRL-tagged data obtained directly from the company or from a regulator\u2019s website such as the SEC\u2019s EDGAR, in contrast with data obtained from aggregators such as Compustat, are the closest and most accurate reflection of the company\u2019s intended communication in their official financial reports. However, to date, there has been no formal study of the similarities and differences between interactive data (i.e., XBRL-tagged data filed with the SEC) and data provided by aggregators. This study fills this gap by comparing interactive data with the data items reported by three prominent data aggregators or redistributors: Compustat, Google Finance, and Yahoo Finance. We find a significant rate of omission of more than 50% in the financial statement items provided by aggregators/redistributors compared with the interactive data available on the SEC\u2019s EDGAR website. For items that are not omitted, we find up to 4.8% (tracing from interactive data to aggregator data) and 8% (tracing from aggregator data to interactive data) mismatches, with approximately 56% of differences being greater than conventional materiality. The rate of mismatch differs by aggregator for the three financial statements studied: Balance Sheet, Income Statement, and the Statement of Cash Flows. The differences are most frequent in the Statement of Cash Flows (comparison between interactive data and aggregators) and the Income Statement (reverse comparison), but generally they tend to decline over the three year period studied. Keywords:", "author" : [ { "dropping-particle" : "", "family" : "Boritz", "given" : "J. Efrim", "non-dropping-particle" : "", "parse-names" : false, "suffix" : "" }, { "dropping-particle" : "", "family" : "No", "given" : "Won Gyun", "non-dropping-particle" : "", "parse-names" : false, "suffix" : "" } ], "id" : "ITEM-1", "issued" : { "date-parts" : [ [ "2013" ] ] }, "page" : "0-51", "title" : "The Quality of Interactive Data: XBRL versus Compustat, Yahoo Finance, and Google Finance", "type" : "article-journal" }, "uris" : [ "http://www.mendeley.com/documents/?uuid=4bcac2d5-c51d-4b80-834a-a437f6407354" ] } ], "mendeley" : { "formattedCitation" : "(Boritz &amp; No, 2013)", "plainTextFormattedCitation" : "(Boritz &amp; No, 2013)", "previouslyFormattedCitation" : "(Boritz &amp; No, 2013)" }, "properties" : {  }, "schema" : "https://github.com/citation-style-language/schema/raw/master/csl-citation.json" }</w:instrText>
      </w:r>
      <w:r>
        <w:rPr>
          <w:rFonts w:asciiTheme="majorBidi" w:hAnsiTheme="majorBidi" w:cstheme="majorBidi"/>
          <w:sz w:val="21"/>
          <w:szCs w:val="21"/>
        </w:rPr>
        <w:fldChar w:fldCharType="separate"/>
      </w:r>
      <w:r w:rsidRPr="002D3F9F">
        <w:rPr>
          <w:rFonts w:asciiTheme="majorBidi" w:hAnsiTheme="majorBidi" w:cstheme="majorBidi"/>
          <w:noProof/>
          <w:sz w:val="21"/>
          <w:szCs w:val="21"/>
        </w:rPr>
        <w:t>(Boritz &amp; No, 2013)</w:t>
      </w:r>
      <w:r>
        <w:rPr>
          <w:rFonts w:asciiTheme="majorBidi" w:hAnsiTheme="majorBidi" w:cstheme="majorBidi"/>
          <w:sz w:val="21"/>
          <w:szCs w:val="21"/>
        </w:rPr>
        <w:fldChar w:fldCharType="end"/>
      </w:r>
      <w:r>
        <w:rPr>
          <w:rFonts w:asciiTheme="majorBidi" w:hAnsiTheme="majorBidi" w:cstheme="majorBidi"/>
          <w:sz w:val="21"/>
          <w:szCs w:val="21"/>
        </w:rPr>
        <w:t xml:space="preserve"> compared financial information reported by three data aggregators (</w:t>
      </w:r>
      <w:r w:rsidR="00A96A7E">
        <w:rPr>
          <w:rFonts w:asciiTheme="majorBidi" w:hAnsiTheme="majorBidi" w:cstheme="majorBidi"/>
          <w:sz w:val="21"/>
          <w:szCs w:val="21"/>
        </w:rPr>
        <w:t>COMPUSTAT, Google</w:t>
      </w:r>
      <w:r>
        <w:rPr>
          <w:rFonts w:asciiTheme="majorBidi" w:hAnsiTheme="majorBidi" w:cstheme="majorBidi"/>
          <w:sz w:val="21"/>
          <w:szCs w:val="21"/>
        </w:rPr>
        <w:t xml:space="preserve"> Finance</w:t>
      </w:r>
      <w:r w:rsidR="00A96A7E">
        <w:rPr>
          <w:rFonts w:asciiTheme="majorBidi" w:hAnsiTheme="majorBidi" w:cstheme="majorBidi"/>
          <w:sz w:val="21"/>
          <w:szCs w:val="21"/>
        </w:rPr>
        <w:t>, and</w:t>
      </w:r>
      <w:r>
        <w:rPr>
          <w:rFonts w:asciiTheme="majorBidi" w:hAnsiTheme="majorBidi" w:cstheme="majorBidi"/>
          <w:sz w:val="21"/>
          <w:szCs w:val="21"/>
        </w:rPr>
        <w:t xml:space="preserve"> Yahoo Finance) with those reported </w:t>
      </w:r>
      <w:r w:rsidR="00A96A7E">
        <w:rPr>
          <w:rFonts w:asciiTheme="majorBidi" w:hAnsiTheme="majorBidi" w:cstheme="majorBidi"/>
          <w:sz w:val="21"/>
          <w:szCs w:val="21"/>
        </w:rPr>
        <w:t>by XBRL data. They found that more than 50% of the information provided by XBRL data were not available from the aggregators. Of the financial facts that were available from both sources they found that 4.8% of the data did not match when comparing from XBRL to the aggregators and 8% did not match when comparing from the aggregators to XBRL, 55.7% of these mismatches were materially different.</w:t>
      </w:r>
    </w:p>
    <w:p w:rsidR="00397B99" w:rsidRDefault="00A77759" w:rsidP="00397B99">
      <w:pPr>
        <w:rPr>
          <w:rFonts w:asciiTheme="majorBidi" w:hAnsiTheme="majorBidi" w:cstheme="majorBidi"/>
          <w:sz w:val="21"/>
          <w:szCs w:val="21"/>
        </w:rPr>
      </w:pPr>
      <w:r>
        <w:rPr>
          <w:rFonts w:asciiTheme="majorBidi" w:hAnsiTheme="majorBidi" w:cstheme="majorBidi"/>
          <w:bCs/>
          <w:sz w:val="21"/>
          <w:szCs w:val="21"/>
        </w:rPr>
        <w:t>T</w:t>
      </w:r>
      <w:r w:rsidR="00397B99" w:rsidRPr="00397B99">
        <w:rPr>
          <w:rFonts w:asciiTheme="majorBidi" w:hAnsiTheme="majorBidi" w:cstheme="majorBidi"/>
          <w:bCs/>
          <w:sz w:val="21"/>
          <w:szCs w:val="21"/>
        </w:rPr>
        <w:t xml:space="preserve">he values reported in COMPUSTAT </w:t>
      </w:r>
      <w:r>
        <w:rPr>
          <w:rFonts w:asciiTheme="majorBidi" w:hAnsiTheme="majorBidi" w:cstheme="majorBidi"/>
          <w:bCs/>
          <w:sz w:val="21"/>
          <w:szCs w:val="21"/>
        </w:rPr>
        <w:t>were discovered to</w:t>
      </w:r>
      <w:r w:rsidR="00397B99" w:rsidRPr="00397B99">
        <w:rPr>
          <w:rFonts w:asciiTheme="majorBidi" w:hAnsiTheme="majorBidi" w:cstheme="majorBidi"/>
          <w:bCs/>
          <w:sz w:val="21"/>
          <w:szCs w:val="21"/>
        </w:rPr>
        <w:t xml:space="preserve"> </w:t>
      </w:r>
      <w:r w:rsidRPr="00397B99">
        <w:rPr>
          <w:rFonts w:asciiTheme="majorBidi" w:hAnsiTheme="majorBidi" w:cstheme="majorBidi"/>
          <w:bCs/>
          <w:sz w:val="21"/>
          <w:szCs w:val="21"/>
        </w:rPr>
        <w:t>significantly</w:t>
      </w:r>
      <w:r w:rsidRPr="00397B99">
        <w:rPr>
          <w:rFonts w:asciiTheme="majorBidi" w:hAnsiTheme="majorBidi" w:cstheme="majorBidi"/>
          <w:bCs/>
          <w:sz w:val="21"/>
          <w:szCs w:val="21"/>
        </w:rPr>
        <w:t xml:space="preserve"> </w:t>
      </w:r>
      <w:r w:rsidR="00397B99" w:rsidRPr="00397B99">
        <w:rPr>
          <w:rFonts w:asciiTheme="majorBidi" w:hAnsiTheme="majorBidi" w:cstheme="majorBidi"/>
          <w:bCs/>
          <w:sz w:val="21"/>
          <w:szCs w:val="21"/>
        </w:rPr>
        <w:t>differ from the values reported in XBRL SEC filings</w:t>
      </w:r>
      <w:r>
        <w:rPr>
          <w:rFonts w:asciiTheme="majorBidi" w:hAnsiTheme="majorBidi" w:cstheme="majorBidi"/>
          <w:bCs/>
          <w:sz w:val="21"/>
          <w:szCs w:val="21"/>
        </w:rPr>
        <w:fldChar w:fldCharType="begin" w:fldLock="1"/>
      </w:r>
      <w:r>
        <w:rPr>
          <w:rFonts w:asciiTheme="majorBidi" w:hAnsiTheme="majorBidi" w:cstheme="majorBidi"/>
          <w:bCs/>
          <w:sz w:val="21"/>
          <w:szCs w:val="21"/>
        </w:rPr>
        <w:instrText>ADDIN CSL_CITATION { "citationItems" : [ { "id" : "ITEM-1", "itemData" : { "DOI" : "10.2308/isys-50922", "ISBN" : "1558-7959", "ISSN" : "0888-7985", "abstract" : "Compustat is frequently used for both research and decision making. It has been documented that information found in the Compustat database differs from both the information found in other accounting databases and the information disclosed in corporate financial filings (San Miguel 1977; Rosenberg and Houglet 1974; Yang, Vasarhelyi, and Liu 2003; Tallapally, Luehlfing, and Motha 2011, 2012; Boritz and No 2013). In this study, we conduct the first large-scale comparison of Compustat and 10-K data. Specifically, we compare 30 accounting line items of approximately 5,000 companies for the period from October 1, 2011 to September 30, 2012. We find that the values reported in Compustat significantly differ from the values reported in 10-K filings. We also find that the amount and magnitude of the original data alterations introduced by Compustat depend on the type of the accounting item and company characteristics, such as industry and size.", "author" : [ { "dropping-particle" : "", "family" : "Chychyla", "given" : "Roman", "non-dropping-particle" : "", "parse-names" : false, "suffix" : "" }, { "dropping-particle" : "", "family" : "Kogan", "given" : "Alexander", "non-dropping-particle" : "", "parse-names" : false, "suffix" : "" } ], "container-title" : "Journal of Information Systems", "id" : "ITEM-1", "issue" : "1", "issued" : { "date-parts" : [ [ "2015" ] ] }, "page" : "37-72", "title" : "Using XBRL to Conduct a Large-Scale Study of Discrepancies between the Accounting Numbers in Compustat and SEC 10-K Filings", "type" : "article-journal", "volume" : "29" }, "uris" : [ "http://www.mendeley.com/documents/?uuid=b1a73be2-fda4-478c-9d59-f4f0802a1b89" ] } ], "mendeley" : { "formattedCitation" : "(Chychyla &amp; Kogan, 2015)", "plainTextFormattedCitation" : "(Chychyla &amp; Kogan, 2015)", "previouslyFormattedCitation" : "(Chychyla &amp; Kogan, 2015)" }, "properties" : {  }, "schema" : "https://github.com/citation-style-language/schema/raw/master/csl-citation.json" }</w:instrText>
      </w:r>
      <w:r>
        <w:rPr>
          <w:rFonts w:asciiTheme="majorBidi" w:hAnsiTheme="majorBidi" w:cstheme="majorBidi"/>
          <w:bCs/>
          <w:sz w:val="21"/>
          <w:szCs w:val="21"/>
        </w:rPr>
        <w:fldChar w:fldCharType="separate"/>
      </w:r>
      <w:r w:rsidRPr="00A77759">
        <w:rPr>
          <w:rFonts w:asciiTheme="majorBidi" w:hAnsiTheme="majorBidi" w:cstheme="majorBidi"/>
          <w:bCs/>
          <w:noProof/>
          <w:sz w:val="21"/>
          <w:szCs w:val="21"/>
        </w:rPr>
        <w:t>(</w:t>
      </w:r>
      <w:proofErr w:type="spellStart"/>
      <w:r w:rsidRPr="00A77759">
        <w:rPr>
          <w:rFonts w:asciiTheme="majorBidi" w:hAnsiTheme="majorBidi" w:cstheme="majorBidi"/>
          <w:bCs/>
          <w:noProof/>
          <w:sz w:val="21"/>
          <w:szCs w:val="21"/>
        </w:rPr>
        <w:t>Chychyla</w:t>
      </w:r>
      <w:proofErr w:type="spellEnd"/>
      <w:r w:rsidRPr="00A77759">
        <w:rPr>
          <w:rFonts w:asciiTheme="majorBidi" w:hAnsiTheme="majorBidi" w:cstheme="majorBidi"/>
          <w:bCs/>
          <w:noProof/>
          <w:sz w:val="21"/>
          <w:szCs w:val="21"/>
        </w:rPr>
        <w:t xml:space="preserve"> &amp; Kogan, 2015)</w:t>
      </w:r>
      <w:r>
        <w:rPr>
          <w:rFonts w:asciiTheme="majorBidi" w:hAnsiTheme="majorBidi" w:cstheme="majorBidi"/>
          <w:bCs/>
          <w:sz w:val="21"/>
          <w:szCs w:val="21"/>
        </w:rPr>
        <w:fldChar w:fldCharType="end"/>
      </w:r>
      <w:r w:rsidR="00397B99" w:rsidRPr="00397B99">
        <w:rPr>
          <w:rFonts w:asciiTheme="majorBidi" w:hAnsiTheme="majorBidi" w:cstheme="majorBidi"/>
          <w:bCs/>
          <w:sz w:val="21"/>
          <w:szCs w:val="21"/>
        </w:rPr>
        <w:t xml:space="preserve">. Although </w:t>
      </w:r>
      <w:r>
        <w:rPr>
          <w:rFonts w:asciiTheme="majorBidi" w:hAnsiTheme="majorBidi" w:cstheme="majorBidi"/>
          <w:bCs/>
          <w:sz w:val="21"/>
          <w:szCs w:val="21"/>
        </w:rPr>
        <w:t>the study</w:t>
      </w:r>
      <w:r w:rsidR="00397B99" w:rsidRPr="00397B99">
        <w:rPr>
          <w:rFonts w:asciiTheme="majorBidi" w:hAnsiTheme="majorBidi" w:cstheme="majorBidi"/>
          <w:bCs/>
          <w:sz w:val="21"/>
          <w:szCs w:val="21"/>
        </w:rPr>
        <w:t xml:space="preserve"> </w:t>
      </w:r>
      <w:r>
        <w:rPr>
          <w:rFonts w:asciiTheme="majorBidi" w:hAnsiTheme="majorBidi" w:cstheme="majorBidi"/>
          <w:bCs/>
          <w:sz w:val="21"/>
          <w:szCs w:val="21"/>
        </w:rPr>
        <w:t>did</w:t>
      </w:r>
      <w:r w:rsidR="00397B99" w:rsidRPr="00397B99">
        <w:rPr>
          <w:rFonts w:asciiTheme="majorBidi" w:hAnsiTheme="majorBidi" w:cstheme="majorBidi"/>
          <w:bCs/>
          <w:sz w:val="21"/>
          <w:szCs w:val="21"/>
        </w:rPr>
        <w:t xml:space="preserve"> not attempt to compare COMPUSTAT and XBRL SEC filings </w:t>
      </w:r>
      <w:r>
        <w:rPr>
          <w:rFonts w:asciiTheme="majorBidi" w:hAnsiTheme="majorBidi" w:cstheme="majorBidi"/>
          <w:bCs/>
          <w:sz w:val="21"/>
          <w:szCs w:val="21"/>
        </w:rPr>
        <w:t>it does</w:t>
      </w:r>
      <w:r w:rsidR="00397B99" w:rsidRPr="00397B99">
        <w:rPr>
          <w:rFonts w:asciiTheme="majorBidi" w:hAnsiTheme="majorBidi" w:cstheme="majorBidi"/>
          <w:bCs/>
          <w:sz w:val="21"/>
          <w:szCs w:val="21"/>
        </w:rPr>
        <w:t xml:space="preserve"> find that COMPUSTAT significantly alters numbers reported, specifically 17 (out of 30) variables reported by COMPUSTAT are different from values reported by XBRL SEC filings. </w:t>
      </w:r>
    </w:p>
    <w:p w:rsidR="002D273E" w:rsidRDefault="002D273E" w:rsidP="00397B99">
      <w:pPr>
        <w:rPr>
          <w:rFonts w:asciiTheme="majorBidi" w:hAnsiTheme="majorBidi" w:cstheme="majorBidi" w:hint="cs"/>
          <w:sz w:val="21"/>
          <w:szCs w:val="21"/>
          <w:rtl/>
        </w:rPr>
      </w:pPr>
      <w:r>
        <w:rPr>
          <w:rFonts w:asciiTheme="majorBidi" w:hAnsiTheme="majorBidi" w:cstheme="majorBidi"/>
          <w:sz w:val="21"/>
          <w:szCs w:val="21"/>
        </w:rPr>
        <w:fldChar w:fldCharType="begin" w:fldLock="1"/>
      </w:r>
      <w:r>
        <w:rPr>
          <w:rFonts w:asciiTheme="majorBidi" w:hAnsiTheme="majorBidi" w:cstheme="majorBidi"/>
          <w:sz w:val="21"/>
          <w:szCs w:val="21"/>
        </w:rPr>
        <w:instrText>ADDIN CSL_CITATION { "citationItems" : [ { "id" : "ITEM-1", "itemData" : { "author" : [ { "dropping-particle" : "", "family" : "Williams", "given" : "Kelly L", "non-dropping-particle" : "", "parse-names" : false, "suffix" : "" } ], "id" : "ITEM-1", "issue" : "August", "issued" : { "date-parts" : [ [ "2015" ] ] }, "title" : "The Prediction of Future Earnings Using Financial Statement Information: Are XBRL Company Filings up to the Task?", "type" : "report" }, "uris" : [ "http://www.mendeley.com/documents/?uuid=84aca0ab-a29e-4cbf-b95b-5c84ac0b66fd" ] } ], "mendeley" : { "formattedCitation" : "(Williams, 2015)", "plainTextFormattedCitation" : "(Williams, 2015)", "previouslyFormattedCitation" : "(Williams, 2015)" }, "properties" : {  }, "schema" : "https://github.com/citation-style-language/schema/raw/master/csl-citation.json" }</w:instrText>
      </w:r>
      <w:r>
        <w:rPr>
          <w:rFonts w:asciiTheme="majorBidi" w:hAnsiTheme="majorBidi" w:cstheme="majorBidi"/>
          <w:sz w:val="21"/>
          <w:szCs w:val="21"/>
        </w:rPr>
        <w:fldChar w:fldCharType="separate"/>
      </w:r>
      <w:r w:rsidRPr="002D273E">
        <w:rPr>
          <w:rFonts w:asciiTheme="majorBidi" w:hAnsiTheme="majorBidi" w:cstheme="majorBidi"/>
          <w:noProof/>
          <w:sz w:val="21"/>
          <w:szCs w:val="21"/>
        </w:rPr>
        <w:t>(Williams, 2015)</w:t>
      </w:r>
      <w:r>
        <w:rPr>
          <w:rFonts w:asciiTheme="majorBidi" w:hAnsiTheme="majorBidi" w:cstheme="majorBidi"/>
          <w:sz w:val="21"/>
          <w:szCs w:val="21"/>
        </w:rPr>
        <w:fldChar w:fldCharType="end"/>
      </w:r>
      <w:r>
        <w:rPr>
          <w:rFonts w:asciiTheme="majorBidi" w:hAnsiTheme="majorBidi" w:cstheme="majorBidi"/>
          <w:sz w:val="21"/>
          <w:szCs w:val="21"/>
        </w:rPr>
        <w:t xml:space="preserve"> </w:t>
      </w:r>
      <w:r w:rsidR="00A77759">
        <w:rPr>
          <w:rFonts w:asciiTheme="majorBidi" w:hAnsiTheme="majorBidi" w:cstheme="majorBidi"/>
          <w:sz w:val="21"/>
          <w:szCs w:val="21"/>
        </w:rPr>
        <w:t xml:space="preserve">observed in a study of </w:t>
      </w:r>
      <w:r w:rsidR="00A77759">
        <w:rPr>
          <w:rFonts w:asciiTheme="majorBidi" w:hAnsiTheme="majorBidi" w:cstheme="majorBidi"/>
          <w:sz w:val="21"/>
          <w:szCs w:val="21"/>
        </w:rPr>
        <w:t>S&amp;P 500</w:t>
      </w:r>
      <w:r w:rsidR="00A77759">
        <w:rPr>
          <w:rFonts w:asciiTheme="majorBidi" w:hAnsiTheme="majorBidi" w:cstheme="majorBidi"/>
          <w:sz w:val="21"/>
          <w:szCs w:val="21"/>
        </w:rPr>
        <w:t xml:space="preserve"> companies</w:t>
      </w:r>
      <w:r w:rsidR="00252174">
        <w:rPr>
          <w:rFonts w:asciiTheme="majorBidi" w:hAnsiTheme="majorBidi" w:cstheme="majorBidi"/>
          <w:sz w:val="21"/>
          <w:szCs w:val="21"/>
        </w:rPr>
        <w:t xml:space="preserve"> that 23 of 70 accounting concepts examined had proportions of less than 0.50 complete data in a sample of 296 </w:t>
      </w:r>
      <w:proofErr w:type="spellStart"/>
      <w:r w:rsidR="00252174">
        <w:rPr>
          <w:rFonts w:asciiTheme="majorBidi" w:hAnsiTheme="majorBidi" w:cstheme="majorBidi"/>
          <w:sz w:val="21"/>
          <w:szCs w:val="21"/>
        </w:rPr>
        <w:t>compan</w:t>
      </w:r>
      <w:r w:rsidR="00A77759">
        <w:rPr>
          <w:rFonts w:asciiTheme="majorBidi" w:hAnsiTheme="majorBidi" w:cstheme="majorBidi"/>
          <w:sz w:val="21"/>
          <w:szCs w:val="21"/>
        </w:rPr>
        <w:t>y</w:t>
      </w:r>
      <w:r w:rsidR="00252174">
        <w:rPr>
          <w:rFonts w:asciiTheme="majorBidi" w:hAnsiTheme="majorBidi" w:cstheme="majorBidi"/>
          <w:sz w:val="21"/>
          <w:szCs w:val="21"/>
        </w:rPr>
        <w:t>s</w:t>
      </w:r>
      <w:proofErr w:type="spellEnd"/>
      <w:r w:rsidR="00252174">
        <w:rPr>
          <w:rFonts w:asciiTheme="majorBidi" w:hAnsiTheme="majorBidi" w:cstheme="majorBidi"/>
          <w:sz w:val="21"/>
          <w:szCs w:val="21"/>
        </w:rPr>
        <w:t xml:space="preserve"> filing</w:t>
      </w:r>
      <w:r w:rsidR="00DC10FD">
        <w:rPr>
          <w:rFonts w:asciiTheme="majorBidi" w:hAnsiTheme="majorBidi" w:cstheme="majorBidi"/>
          <w:sz w:val="21"/>
          <w:szCs w:val="21"/>
        </w:rPr>
        <w:t>s</w:t>
      </w:r>
      <w:r w:rsidR="00A77759">
        <w:rPr>
          <w:rFonts w:asciiTheme="majorBidi" w:hAnsiTheme="majorBidi" w:cstheme="majorBidi"/>
          <w:sz w:val="21"/>
          <w:szCs w:val="21"/>
        </w:rPr>
        <w:t xml:space="preserve">. </w:t>
      </w:r>
      <w:r w:rsidR="00A77759">
        <w:rPr>
          <w:rFonts w:asciiTheme="majorBidi" w:hAnsiTheme="majorBidi" w:cstheme="majorBidi"/>
          <w:sz w:val="21"/>
          <w:szCs w:val="21"/>
        </w:rPr>
        <w:t xml:space="preserve">67% of the variables examined were found to be incalculable or to return erroneous results. </w:t>
      </w:r>
      <w:r w:rsidR="00A77759">
        <w:rPr>
          <w:rFonts w:asciiTheme="majorBidi" w:hAnsiTheme="majorBidi" w:cstheme="majorBidi"/>
          <w:sz w:val="21"/>
          <w:szCs w:val="21"/>
        </w:rPr>
        <w:t>The findings</w:t>
      </w:r>
      <w:r w:rsidR="00E90ED8">
        <w:rPr>
          <w:rFonts w:asciiTheme="majorBidi" w:hAnsiTheme="majorBidi" w:cstheme="majorBidi"/>
          <w:sz w:val="21"/>
          <w:szCs w:val="21"/>
        </w:rPr>
        <w:t xml:space="preserve"> suggest that </w:t>
      </w:r>
      <w:r w:rsidR="005530C2">
        <w:rPr>
          <w:rFonts w:asciiTheme="majorBidi" w:hAnsiTheme="majorBidi" w:cstheme="majorBidi"/>
          <w:sz w:val="21"/>
          <w:szCs w:val="21"/>
        </w:rPr>
        <w:t xml:space="preserve">untouched </w:t>
      </w:r>
      <w:r w:rsidR="00E90ED8">
        <w:rPr>
          <w:rFonts w:asciiTheme="majorBidi" w:hAnsiTheme="majorBidi" w:cstheme="majorBidi"/>
          <w:sz w:val="21"/>
          <w:szCs w:val="21"/>
        </w:rPr>
        <w:t xml:space="preserve">XBRL filings cannot be used to create earnings prediction models. When using "fully populated" company filings, filings whose missing tags have been automatically populated based on component XBRL tags, the proportion of completed data improved from 0.50 to 0.80. </w:t>
      </w:r>
      <w:r w:rsidR="00DC10FD">
        <w:rPr>
          <w:rFonts w:asciiTheme="majorBidi" w:hAnsiTheme="majorBidi" w:cstheme="majorBidi"/>
          <w:sz w:val="21"/>
          <w:szCs w:val="21"/>
        </w:rPr>
        <w:t>While the untouched XBRL filings could not be used to create earnings prediction models fully populated filing could.</w:t>
      </w:r>
    </w:p>
    <w:p w:rsidR="00A96A7E" w:rsidRDefault="00A96A7E" w:rsidP="00CB161B">
      <w:pPr>
        <w:rPr>
          <w:rFonts w:asciiTheme="majorBidi" w:hAnsiTheme="majorBidi" w:cstheme="majorBidi"/>
          <w:sz w:val="21"/>
          <w:szCs w:val="21"/>
        </w:rPr>
      </w:pPr>
      <w:r>
        <w:rPr>
          <w:rFonts w:asciiTheme="majorBidi" w:hAnsiTheme="majorBidi" w:cstheme="majorBidi"/>
          <w:sz w:val="21"/>
          <w:szCs w:val="21"/>
        </w:rPr>
        <w:fldChar w:fldCharType="begin" w:fldLock="1"/>
      </w:r>
      <w:r>
        <w:rPr>
          <w:rFonts w:asciiTheme="majorBidi" w:hAnsiTheme="majorBidi" w:cstheme="majorBidi"/>
          <w:sz w:val="21"/>
          <w:szCs w:val="21"/>
        </w:rPr>
        <w:instrText>ADDIN CSL_CITATION { "citationItems" : [ { "id" : "ITEM-1", "itemData" : { "abstract" : "Since the mandate by the U.S. Security and Exchange Commission (SEC) to begin the interactive data reporting in June 2009, according to XBRL Cloud, an XBRL product and service provider, more than 4000 filing errors have been identified. We examine the overall changing pattern of the errors to understand whether the vast number of errors may hamper the transition to the interactive data reporting. Using a sample of 4532 filings that contain 4260 errors, we document significant learning curves exhibited by the SEC XBRL filing environment, by the filers, and by the XBRL software vendors. Specifically, we find that the number of errors per filing is significantly decreasing as more quarters pass, when a company files more times, and when a higher version of software is used, suggesting that the SEC, the company filers, and the technology community all learn from their experiences and therefore the future filings are improved. Our findings provide evidence to encourage the regulatory body, the filers, and the XBRL technology supporting community to embrace the new disclosure requirement in financial reporting. The significantly decreased number of errors also helps address the information users\u2019 concerns regarding the data quality of XBRL filings.", "author" : [ { "dropping-particle" : "", "family" : "Du", "given" : "Hui", "non-dropping-particle" : "", "parse-names" : false, "suffix" : "" }, { "dropping-particle" : "", "family" : "Vasarhelyi", "given" : "Miklos A.", "non-dropping-particle" : "", "parse-names" : false, "suffix" : "" }, { "dropping-particle" : "", "family" : "Zheng", "given" : "Xiaochauan", "non-dropping-particle" : "", "parse-names" : false, "suffix" : "" } ], "id" : "ITEM-1", "issued" : { "date-parts" : [ [ "2011" ] ] }, "title" : "XBRL Mandate: Thousands of Filing Errors and So What?", "type" : "article-journal" }, "uris" : [ "http://www.mendeley.com/documents/?uuid=3312e9e2-6b45-4fe3-9010-cd3ef92ad114" ] } ], "mendeley" : { "formattedCitation" : "(Du, Vasarhelyi, &amp; Zheng, 2011)", "plainTextFormattedCitation" : "(Du, Vasarhelyi, &amp; Zheng, 2011)", "previouslyFormattedCitation" : "(Du, Vasarhelyi, &amp; Zheng, 2011)" }, "properties" : {  }, "schema" : "https://github.com/citation-style-language/schema/raw/master/csl-citation.json" }</w:instrText>
      </w:r>
      <w:r>
        <w:rPr>
          <w:rFonts w:asciiTheme="majorBidi" w:hAnsiTheme="majorBidi" w:cstheme="majorBidi"/>
          <w:sz w:val="21"/>
          <w:szCs w:val="21"/>
        </w:rPr>
        <w:fldChar w:fldCharType="separate"/>
      </w:r>
      <w:r w:rsidRPr="00A96A7E">
        <w:rPr>
          <w:rFonts w:asciiTheme="majorBidi" w:hAnsiTheme="majorBidi" w:cstheme="majorBidi"/>
          <w:noProof/>
          <w:sz w:val="21"/>
          <w:szCs w:val="21"/>
        </w:rPr>
        <w:t>(Du, Vasarhelyi, &amp; Zheng, 2011)</w:t>
      </w:r>
      <w:r>
        <w:rPr>
          <w:rFonts w:asciiTheme="majorBidi" w:hAnsiTheme="majorBidi" w:cstheme="majorBidi"/>
          <w:sz w:val="21"/>
          <w:szCs w:val="21"/>
        </w:rPr>
        <w:fldChar w:fldCharType="end"/>
      </w:r>
      <w:r>
        <w:rPr>
          <w:rFonts w:asciiTheme="majorBidi" w:hAnsiTheme="majorBidi" w:cstheme="majorBidi"/>
          <w:sz w:val="21"/>
          <w:szCs w:val="21"/>
        </w:rPr>
        <w:t xml:space="preserve"> find that </w:t>
      </w:r>
      <w:r w:rsidR="00397B99">
        <w:rPr>
          <w:rFonts w:asciiTheme="majorBidi" w:hAnsiTheme="majorBidi" w:cstheme="majorBidi"/>
          <w:sz w:val="21"/>
          <w:szCs w:val="21"/>
        </w:rPr>
        <w:t>the number of errors per filing is significantly decreasing as more quarters pass and when companies file more times</w:t>
      </w:r>
      <w:r w:rsidR="005530C2">
        <w:rPr>
          <w:rFonts w:asciiTheme="majorBidi" w:hAnsiTheme="majorBidi" w:cstheme="majorBidi"/>
          <w:sz w:val="21"/>
          <w:szCs w:val="21"/>
        </w:rPr>
        <w:t xml:space="preserve">. While this </w:t>
      </w:r>
      <w:r w:rsidR="00397B99">
        <w:rPr>
          <w:rFonts w:asciiTheme="majorBidi" w:hAnsiTheme="majorBidi" w:cstheme="majorBidi"/>
          <w:sz w:val="21"/>
          <w:szCs w:val="21"/>
        </w:rPr>
        <w:t>suggest</w:t>
      </w:r>
      <w:r w:rsidR="005530C2">
        <w:rPr>
          <w:rFonts w:asciiTheme="majorBidi" w:hAnsiTheme="majorBidi" w:cstheme="majorBidi"/>
          <w:sz w:val="21"/>
          <w:szCs w:val="21"/>
        </w:rPr>
        <w:t>s that</w:t>
      </w:r>
      <w:r w:rsidR="00397B99">
        <w:rPr>
          <w:rFonts w:asciiTheme="majorBidi" w:hAnsiTheme="majorBidi" w:cstheme="majorBidi"/>
          <w:sz w:val="21"/>
          <w:szCs w:val="21"/>
        </w:rPr>
        <w:t xml:space="preserve"> filers learn from their experience and therefore future filings will improve, a significant number of required accounting elements for financial statement analysis, is still expected to be missing from current XBRL filings.</w:t>
      </w:r>
    </w:p>
    <w:p w:rsidR="005B39A9" w:rsidRDefault="005B39A9" w:rsidP="005B39A9">
      <w:pPr>
        <w:pStyle w:val="2"/>
      </w:pPr>
      <w:r>
        <w:t>The Earnings Prediction Model</w:t>
      </w:r>
    </w:p>
    <w:p w:rsidR="005B39A9" w:rsidRPr="00420450" w:rsidRDefault="005B39A9" w:rsidP="005B39A9">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"mendeley" : { "formattedCitation" : "(Ou &amp; Penman, 1989)", "plainTextFormattedCitation" : "(Ou &amp; Penman, 1989)", "previouslyFormattedCitation" : "(Ou &amp; Penman, 1989)"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(Ou &amp; Penman, 1989)</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is considered a foundation paper in accounting research literature (cited 124 times according to PROQUEST) The study was the first to focus on the usefulness of accounting information to predict the direction of the movement of earnings relative to trend adjusted current earnings.</w:t>
      </w:r>
    </w:p>
    <w:p w:rsidR="005B39A9" w:rsidRPr="00420450" w:rsidRDefault="005B39A9" w:rsidP="005B39A9">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Using an extensive financial statement analysis (68 accounting variables) the study modeled the direction of movements (increase/ decrease) in earnings per share (EPS) one year out. The sample was obtained from the 1984 COMPUSTAT annual report files and the study was conducted in several stages. In the first stage, a chi-squared test was applied to a univariate LOGIT estimation and conducted for 68 accounting variables using annual report data over the period 1965-1972 and then again over the period 1973-1977. In both periods 34 (50%) of the coefficients estimated had p-values less than 0.10. In the second stage, a multivariate model was used, on the variables found in the first stage, using a step-wise procedure, deleting descriptors not significant at the 0.10 level with all other descriptors included. In this stage, stage two, additional descriptors were dropped resulting in a model with 16 explanatory variables (for the 1965-1972 period) and 18 variables (for the 1973-1977 period). The results of both time periods were then used to forecast the probability of a company's EPS lying above its trend-adjusted EPS in each of the years from 1973-1983. The companies were classified with a probability above 0.5 (the test was then repeated with p&gt;0.6) as one that would realize an increase in EPS or a company with a probability below 0.5 (the test was then repeated with p&lt;0.4) as one that would realize a decrease in EPS.</w:t>
      </w:r>
    </w:p>
    <w:p w:rsidR="005B39A9" w:rsidRPr="00420450" w:rsidRDefault="005B39A9" w:rsidP="005B39A9">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Although the two models only had 6 descriptors which appear in both time periods, many of the descriptors captured similar operating characteristics. For example, inventories, sales and deflated earnings appear in more than one descriptor. The two models classified the firms consistently 78.7% of the time (for a classification of above or below 0.5).</w:t>
      </w:r>
    </w:p>
    <w:p w:rsidR="005B39A9" w:rsidRPr="00420450" w:rsidRDefault="005B39A9" w:rsidP="005B39A9">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 xml:space="preserve">The results of the final models indicated a significant ability of the descriptors to jointly describe subsequent earnings changes. The </w:t>
      </w:r>
      <m:oMath>
        <m:sSubSup>
          <m:sSubSupPr>
            <m:ctrlPr>
              <w:rPr>
                <w:rFonts w:ascii="Cambria Math" w:hAnsi="Cambria Math" w:cstheme="majorBidi"/>
                <w:b w:val="0"/>
                <w:sz w:val="21"/>
                <w:szCs w:val="21"/>
                <w:lang w:bidi="he-IL"/>
              </w:rPr>
            </m:ctrlPr>
          </m:sSubSupPr>
          <m:e>
            <m:r>
              <m:rPr>
                <m:sty m:val="bi"/>
              </m:rPr>
              <w:rPr>
                <w:rFonts w:ascii="Cambria Math" w:hAnsi="Cambria Math" w:cstheme="majorBidi"/>
                <w:sz w:val="21"/>
                <w:szCs w:val="21"/>
                <w:lang w:bidi="he-IL"/>
              </w:rPr>
              <m:t>χ</m:t>
            </m:r>
          </m:e>
          <m:sub>
            <m:r>
              <m:rPr>
                <m:sty m:val="b"/>
              </m:rPr>
              <w:rPr>
                <w:rFonts w:ascii="Cambria Math" w:hAnsi="Cambria Math" w:cstheme="majorBidi"/>
                <w:sz w:val="21"/>
                <w:szCs w:val="21"/>
                <w:lang w:bidi="he-IL"/>
              </w:rPr>
              <m:t>1</m:t>
            </m:r>
          </m:sub>
          <m:sup>
            <m:r>
              <m:rPr>
                <m:sty m:val="b"/>
              </m:rPr>
              <w:rPr>
                <w:rFonts w:ascii="Cambria Math" w:hAnsi="Cambria Math" w:cstheme="majorBidi"/>
                <w:sz w:val="21"/>
                <w:szCs w:val="21"/>
                <w:lang w:bidi="he-IL"/>
              </w:rPr>
              <m:t>2</m:t>
            </m:r>
          </m:sup>
        </m:sSubSup>
      </m:oMath>
      <w:r w:rsidRPr="00420450">
        <w:rPr>
          <w:rFonts w:asciiTheme="majorBidi" w:hAnsiTheme="majorBidi" w:cstheme="majorBidi"/>
          <w:b w:val="0"/>
          <w:sz w:val="21"/>
          <w:szCs w:val="21"/>
          <w:lang w:bidi="he-IL"/>
        </w:rPr>
        <w:t xml:space="preserve"> values from the 2X2 contingency table are highly significant and the predictions appear to be correct about 60% of the time for a probability cutoff of (0.5, 0.5) and 66% of the time for a (0.6, 0.4) cutoff. </w:t>
      </w:r>
    </w:p>
    <w:p w:rsidR="005B39A9" w:rsidRPr="00420450" w:rsidRDefault="005B39A9" w:rsidP="005B39A9">
      <w:pPr>
        <w:pStyle w:val="a"/>
        <w:numPr>
          <w:ilvl w:val="0"/>
          <w:numId w:val="0"/>
        </w:numPr>
        <w:spacing w:after="0"/>
        <w:ind w:firstLineChars="200" w:firstLine="420"/>
        <w:rPr>
          <w:rFonts w:asciiTheme="majorBidi" w:hAnsiTheme="majorBidi" w:cstheme="majorBidi"/>
          <w:b w:val="0"/>
          <w:sz w:val="21"/>
          <w:szCs w:val="21"/>
          <w:lang w:bidi="he-IL"/>
        </w:rPr>
      </w:pPr>
      <w:r w:rsidRPr="00420450">
        <w:rPr>
          <w:rFonts w:asciiTheme="majorBidi" w:hAnsiTheme="majorBidi" w:cstheme="majorBidi"/>
          <w:b w:val="0"/>
          <w:sz w:val="21"/>
          <w:szCs w:val="21"/>
          <w:lang w:bidi="he-IL"/>
        </w:rPr>
        <w:t xml:space="preserve">There have been many replications of the study </w:t>
      </w: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"ITEM-1", "issue" : "4", "issued" : { "date-parts" : [ [ "1989" ] ] }, "page" : "295-329", "title" : "Financial statement analysis and the prediction of stock returns", "type" : "article-journal", "volume" : "11" }, "uris" : [ "http://www.mendeley.com/documents/?uuid=828c6208-675d-42c4-87a3-09590a2da7da" ] } ], "mendeley" : { "formattedCitation" : "(Ou &amp; Penman, 1989)", "plainTextFormattedCitation" : "(Ou &amp; Penman, 1989)", "previouslyFormattedCitation" : "(Ou &amp; Penman, 1989)"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(Ou &amp; Penman, 1989)</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over different time periods  </w:t>
      </w: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"DOI" : "10.1016/0165-4101(92)90025-W", "ISBN" : "0165-4101", "ISSN" : "01654101", "abstract" : "We examine the profitability of a trading strategy which is based on a logit model designed to predict the sign of subsequent twelve-month excess returns from accounting ratios. Over the 1978-1988 period, the average annual excess return produced by the trading strategy ranges between 4.3% and 9.5%, depending on the specific measure of excess return and weighting scheme involved. However, our implementation of the Ou and Penman (1989) trading strategy in the 1978-1988 period, which is based on a logit model that predicts subsequent unexpected earnings- per-share from accounting ratios, does not earn excess returns. \u00a9 1992.", "author" : [ { "dropping-particle" : "", "family" : "Holthausen", "given" : "Robert W.", "non-dropping-particle" : "", "parse-names" : false, "suffix" : "" }, { "dropping-particle" : "", "family" : "Larcker", "given" : "David F.", "non-dropping-particle" : "", "parse-names" : false, "suffix" : "" } ], "container-title" : "Journal of Accounting and Economics", "id" : "ITEM-1", "issue" : "2-3", "issued" : { "date-parts" : [ [ "1992" ] ] }, "page" : "373-411", "title" : "The prediction of stock returns using financial statement information", "type" : "article-journal", "volume" : "15" }, "uris" : [ "http://www.mendeley.com/documents/?uuid=95651018-a49f-44cd-a06b-028999e6d298" ] }, { "id" : "ITEM-2", "itemData" : { "DOI" : "10.1057/palgrave.jam.2240044", "ISBN" : "14708272", "ISSN" : "1470-8272", "PMID" : "194561092", "abstract" : "The greater interest apparent in the recent academic literature in the impact of corporate earnings information on the valuation of shares has prompted an updating of the seminal work of Ou and Penman (1989) on the role that accounting information can play in predicting future movements in earnings relative to expectations. The Ou and Penman analysis has also been extended by considering two measures of expectations; by covering a more recent time period; by encompassing the UK and Australian markets in addition to the US market; and by applying a new methodology for developing the forecasting models. The study found that a model based on accounting information retains merit as a means of forecasting movements in trend-adjusted earnings, but that these forecasts no longer provide the basis for a profitable investment strategy. The models used to forecast earnings surprise gave mixed results, but nonetheless, some of the resulting investment strategies were consistently profitable.", "author" : [ { "dropping-particle" : "", "family" : "Bird", "given" : "Ron", "non-dropping-particle" : "", "parse-names" : false, "suffix" : "" }, { "dropping-particle" : "", "family" : "Gerlach", "given" : "Richard", "non-dropping-particle" : "", "parse-names" : false, "suffix" : "" }, { "dropping-particle" : "", "family" : "Hall", "given" : "A.D.", "non-dropping-particle" : "", "parse-names" : false, "suffix" : "" } ], "container-title" : "Journal of Asset Management", "id" : "ITEM-2", "issue" : "2", "issued" : { "date-parts" : [ [ "2001" ] ] }, "page" : "180-195", "title" : "'The prediction of earnings movements using accounting data: An update and extension of Ou and Penman' -- a response", "type" : "article-journal", "volume" : "2" }, "uris" : [ "http://www.mendeley.com/documents/?uuid=8277b378-9592-43af-b906-491c5377ef29" ] } ], "mendeley" : { "formattedCitation" : "(Bird, Gerlach, &amp; Hall, 2001; Holthausen &amp; Larcker, 1992)", "plainTextFormattedCitation" : "(Bird, Gerlach, &amp; Hall, 2001; Holthausen &amp; Larcker, 1992)", "previouslyFormattedCitation" : "(Bird, Gerlach, &amp; Hall, 2001; Holthausen &amp; Larcker, 1992)"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A77759">
        <w:rPr>
          <w:rFonts w:asciiTheme="majorBidi" w:hAnsiTheme="majorBidi" w:cstheme="majorBidi"/>
          <w:b w:val="0"/>
          <w:noProof/>
          <w:sz w:val="21"/>
          <w:szCs w:val="21"/>
          <w:lang w:bidi="he-IL"/>
        </w:rPr>
        <w:t>(Bird, Gerlach, &amp; Hall, 2001; Holthausen &amp; Larcker, 1992)</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in comparison to analysts' forecast </w:t>
      </w: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"DOI" : "10.1016/0165-4101(92)90024-V", "ISBN" : "0165-4101", "ISSN" : "01654101", "abstract" : "This study distinguishes between the information in the Ou and Penman (1989a) Pr measure and that in analysts' forecasts of earnings. For cases where analysts' forecasts are available, trading on Pr produces abnormal returns only when the predictions of Pr and those of analysts' forecasts disagree. This is consistent with Pr capturing some information not impounded in market prices. However, abnormal returns to this trading strategy continue for up to 72 months after the release of the data necessary to compute Pr. This is consistent with Pr proxying for the effects of omitted risk factors. ?? 1992.", "author" : [ { "dropping-particle" : "", "family" : "Stober", "given" : "Thomas L.", "non-dropping-particle" : "", "parse-names" : false, "suffix" : "" } ], "container-title" : "Journal of Accounting and Economics", "id" : "ITEM-1", "issue" : "2-3", "issued" : { "date-parts" : [ [ "1992" ] ] }, "page" : "347-372", "title" : "Summary financial statement measures and analysts' forecasts of earnings", "type" : "article-journal", "volume" : "15" }, "uris" : [ "http://www.mendeley.com/documents/?uuid=971a555e-778b-466d-a4f9-64f30a992cce" ] } ], "mendeley" : { "formattedCitation" : "(Stober, 1992)", "plainTextFormattedCitation" : "(Stober, 1992)", "previouslyFormattedCitation" : "(Stober, 1992)"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(Stober, 1992)</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and across different countries </w:t>
      </w: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"DOI" : "10.1111/1468-5957.t01-1-00205", "ISSN" : "0306686X", "abstract" : "We examine the profitability of the Ou and Penman (1989a)  Pr  trading strategy and the Holthausen and Larcker (1992)  Prob  trading strategy over the period 1980\u20131992 in the UK. This is a test of whether an investor can earn abnormal returns by exploiting fundamental accounting data. We employ alternative abnormal return metrics and research designs to control for risk. Using a UK dataset offers an independent test because the UK differs from the US in its formal and informal financial reporting environment, its structure of share ownership, and the behaviour of its economy over the study period. We find consistent evidence that an investor could have used a summary measure of financial statement information to predict future abnormal returns by indirectly predicting one-year-ahead earnings changes, but only weak and inconsistent evidence that an investor could have used a summary measure of financial statement information to predict one-year-ahead stock returns directly. We offer some thoughts on the reasons for these different results.", "author" : [ { "dropping-particle" : "", "family" : "Setiono", "given" : "Bambang", "non-dropping-particle" : "", "parse-names" : false, "suffix" : "" }, { "dropping-particle" : "", "family" : "Strong", "given" : "Norman", "non-dropping-particle" : "", "parse-names" : false, "suffix" : "" } ], "container-title" : "Journal of Business Finance and Accounting", "id" : "ITEM-1", "issue" : "5-6", "issued" : { "date-parts" : [ [ "1998" ] ] }, "page" : "631-657", "title" : "Predicting stock returns using financial statement information", "type" : "article-journal", "volume" : "25" }, "uris" : [ "http://www.mendeley.com/documents/?uuid=a061be4a-fec2-4e94-a0b2-003268719995" ] }, { "id" : "ITEM-2", "itemData" : { "DOI" : "10.1057/palgrave.jam.2240044", "ISBN" : "14708272", "ISSN" : "1470-8272", "PMID" : "194561092", "abstract" : "The greater interest apparent in the recent academic literature in the impact of corporate earnings information on the valuation of shares has prompted an updating of the seminal work of Ou and Penman (1989) on the role that accounting information can play in predicting future movements in earnings relative to expectations. The Ou and Penman analysis has also been extended by considering two measures of expectations; by covering a more recent time period; by encompassing the UK and Australian markets in addition to the US market; and by applying a new methodology for developing the forecasting models. The study found that a model based on accounting information retains merit as a means of forecasting movements in trend-adjusted earnings, but that these forecasts no longer provide the basis for a profitable investment strategy. The models used to forecast earnings surprise gave mixed results, but nonetheless, some of the resulting investment strategies were consistently profitable.", "author" : [ { "dropping-particle" : "", "family" : "Bird", "given" : "Ron", "non-dropping-particle" : "", "parse-names" : false, "suffix" : "" }, { "dropping-particle" : "", "family" : "Gerlach", "given" : "Richard", "non-dropping-particle" : "", "parse-names" : false, "suffix" : "" }, { "dropping-particle" : "", "family" : "Hall", "given" : "A.D.", "non-dropping-particle" : "", "parse-names" : false, "suffix" : "" } ], "container-title" : "Journal of Asset Management", "id" : "ITEM-2", "issue" : "2", "issued" : { "date-parts" : [ [ "2001" ] ] }, "page" : "180-195", "title" : "'The prediction of earnings movements using accounting data: An update and extension of Ou and Penman' -- a response", "type" : "article-journal", "volume" : "2" }, "uris" : [ "http://www.mendeley.com/documents/?uuid=8277b378-9592-43af-b906-491c5377ef29" ] } ], "mendeley" : { "formattedCitation" : "(Bird et al., 2001; Setiono &amp; Strong, 1998)", "plainTextFormattedCitation" : "(Bird et al., 2001; Setiono &amp; Strong, 1998)", "previouslyFormattedCitation" : "(Bird et al., 2001; Setiono &amp; Strong, 1998)"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(Bird et al., 2001; Setiono &amp; Strong, 1998)</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 xml:space="preserve"> with varying results. Results also varied when the models were disseminated to different industries </w:t>
      </w:r>
      <w:r w:rsidRPr="00420450">
        <w:rPr>
          <w:rFonts w:asciiTheme="majorBidi" w:hAnsiTheme="majorBidi" w:cstheme="majorBidi"/>
          <w:b w:val="0"/>
          <w:sz w:val="21"/>
          <w:szCs w:val="21"/>
          <w:lang w:bidi="he-IL"/>
        </w:rPr>
        <w:fldChar w:fldCharType="begin" w:fldLock="1"/>
      </w:r>
      <w:r>
        <w:rPr>
          <w:rFonts w:asciiTheme="majorBidi" w:hAnsiTheme="majorBidi" w:cstheme="majorBidi"/>
          <w:b w:val="0"/>
          <w:sz w:val="21"/>
          <w:szCs w:val="21"/>
          <w:lang w:bidi="he-IL"/>
        </w:rPr>
        <w:instrText>ADDIN CSL_CITATION { "citationItems" : [ { "id" : "ITEM-1", "itemData" : { "ISSN" : "10963685", "author" : [ { "dropping-particle" : "", "family" : "Jordan", "given" : "Charles E.", "non-dropping-particle" : "", "parse-names" : false, "suffix" : "" }, { "dropping-particle" : "", "family" : "Clark", "given" : "Stanley J.", "non-dropping-particle" : "", "parse-names" : false, "suffix" : "" }, { "dropping-particle" : "", "family" : "Donald", "given" : "Mallory", "non-dropping-particle" : "", "parse-names" : false, "suffix" : "" } ], "container-title" : "Academy of Accounting and Financial Studies Journal", "id" : "ITEM-1", "issue" : "1", "issued" : { "date-parts" : [ [ "2009" ] ] }, "page" : "91-102", "title" : "Using financial statement analysis to explain the variation in firms' earnings-price ratios", "type" : "article-journal", "volume" : "13" }, "uris" : [ "http://www.mendeley.com/documents/?uuid=62573c1e-ba69-4bc6-af58-6189c8dd956e" ] }, { "id" : "ITEM-2", "itemData" : { "DOI" : "10.1108/14757700610712480", "ISBN" : "1086737091", "ISSN" : "1475-7702", "abstract" : "This paper seeks to investigate whether disaggregated bank earnings better predict next period earnings than contemporaneous aggregated earnings. Fairfield et al.'s (1996) regression approach is used for predicting next period's return of equity (ROE) and stock prices using disaggregated earnings data. The results show that the mean adjusted R -square significantly increases with the progressive disaggregation of earnings. The results also demonstrate that disaggregated components are better able to predict next period earnings and stock prices than aggregated earnings. The findings support the US Financial Accounting Standard Board's contention that disaggregated information may be more useful than aggregated information for investment, credit, and financing decisions. Investors and analysts should use disaggregated income statement information in predicting next period earnings and stock prices for the banking industry. The main contribution of this paper is to demonstrate how fully disaggregated earnings explain ROE, stock prices, and analysts forecast error in the banking industry.", "author" : [ { "dropping-particle" : "", "family" : "Alam", "given" : "Pervaiz", "non-dropping-particle" : "", "parse-names" : false, "suffix" : "" }, { "dropping-particle" : "", "family" : "Brown", "given" : "Charles a.", "non-dropping-particle" : "", "parse-names" : false, "suffix" : "" } ], "container-title" : "Review of Accounting and Finance", "id" : "ITEM-2", "issue" : "4", "issued" : { "date-parts" : [ [ "2006" ] ] }, "page" : "443-463", "title" : "Disaggregated earnings and the prediction of ROE and stock prices: a case of the banking industry", "type" : "article-journal", "volume" : "5" }, "uris" : [ "http://www.mendeley.com/documents/?uuid=84385f62-cf9e-40a2-abce-edbe1661b033" ] } ], "mendeley" : { "formattedCitation" : "(Alam &amp; Brown, 2006; Jordan, Clark, &amp; Donald, 2009)", "plainTextFormattedCitation" : "(Alam &amp; Brown, 2006; Jordan, Clark, &amp; Donald, 2009)", "previouslyFormattedCitation" : "(Alam &amp; Brown, 2006; Jordan, Clark, &amp; Donald, 2009)" }, "properties" : {  }, "schema" : "https://github.com/citation-style-language/schema/raw/master/csl-citation.json" }</w:instrText>
      </w:r>
      <w:r w:rsidRPr="00420450">
        <w:rPr>
          <w:rFonts w:asciiTheme="majorBidi" w:hAnsiTheme="majorBidi" w:cstheme="majorBidi"/>
          <w:b w:val="0"/>
          <w:sz w:val="21"/>
          <w:szCs w:val="21"/>
          <w:lang w:bidi="he-IL"/>
        </w:rPr>
        <w:fldChar w:fldCharType="separate"/>
      </w:r>
      <w:r w:rsidRPr="00420450">
        <w:rPr>
          <w:rFonts w:asciiTheme="majorBidi" w:hAnsiTheme="majorBidi" w:cstheme="majorBidi"/>
          <w:b w:val="0"/>
          <w:noProof/>
          <w:sz w:val="21"/>
          <w:szCs w:val="21"/>
          <w:lang w:bidi="he-IL"/>
        </w:rPr>
        <w:t>(Alam &amp; Brown, 2006; Jordan, Clark, &amp; Donald, 2009)</w:t>
      </w:r>
      <w:r w:rsidRPr="00420450">
        <w:rPr>
          <w:rFonts w:asciiTheme="majorBidi" w:hAnsiTheme="majorBidi" w:cstheme="majorBidi"/>
          <w:b w:val="0"/>
          <w:sz w:val="21"/>
          <w:szCs w:val="21"/>
          <w:lang w:bidi="he-IL"/>
        </w:rPr>
        <w:fldChar w:fldCharType="end"/>
      </w:r>
      <w:r w:rsidRPr="00420450">
        <w:rPr>
          <w:rFonts w:asciiTheme="majorBidi" w:hAnsiTheme="majorBidi" w:cstheme="majorBidi"/>
          <w:b w:val="0"/>
          <w:sz w:val="21"/>
          <w:szCs w:val="21"/>
          <w:lang w:bidi="he-IL"/>
        </w:rPr>
        <w:t>.</w:t>
      </w:r>
    </w:p>
    <w:p w:rsidR="005B39A9" w:rsidRPr="005B39A9" w:rsidRDefault="005B39A9" w:rsidP="005B39A9">
      <w:pPr>
        <w:rPr>
          <w:rFonts w:asciiTheme="majorBidi" w:hAnsiTheme="majorBidi" w:cstheme="majorBidi"/>
          <w:noProof/>
          <w:sz w:val="21"/>
          <w:szCs w:val="21"/>
        </w:rPr>
      </w:pPr>
      <w:r w:rsidRPr="005B39A9">
        <w:rPr>
          <w:rFonts w:asciiTheme="majorBidi" w:hAnsiTheme="majorBidi" w:cstheme="majorBidi"/>
          <w:noProof/>
          <w:sz w:val="21"/>
          <w:szCs w:val="21"/>
        </w:rPr>
        <w:t>The current study does not attempt to examine the validity of</w:t>
      </w:r>
      <w:r>
        <w:rPr>
          <w:rFonts w:asciiTheme="majorBidi" w:hAnsiTheme="majorBidi" w:cstheme="majorBidi"/>
          <w:noProof/>
          <w:sz w:val="21"/>
          <w:szCs w:val="21"/>
        </w:rPr>
        <w:t xml:space="preserve"> the earnings prediction model, but only to use it as a quality measure.</w:t>
      </w:r>
      <w:r w:rsidRPr="005B39A9">
        <w:rPr>
          <w:rFonts w:asciiTheme="majorBidi" w:hAnsiTheme="majorBidi" w:cstheme="majorBidi"/>
          <w:noProof/>
          <w:sz w:val="21"/>
          <w:szCs w:val="21"/>
        </w:rPr>
        <w:t xml:space="preserve"> </w:t>
      </w:r>
    </w:p>
    <w:p w:rsidR="005B39A9" w:rsidRDefault="005B39A9" w:rsidP="005B39A9">
      <w:pPr>
        <w:ind w:left="0"/>
        <w:rPr>
          <w:rFonts w:asciiTheme="majorBidi" w:hAnsiTheme="majorBidi" w:cstheme="majorBidi"/>
          <w:sz w:val="21"/>
          <w:szCs w:val="21"/>
        </w:rPr>
      </w:pPr>
    </w:p>
    <w:p w:rsidR="00A567FB" w:rsidRPr="00254D61" w:rsidRDefault="00A567FB" w:rsidP="00530BF5">
      <w:pPr>
        <w:rPr>
          <w:rFonts w:asciiTheme="majorBidi" w:hAnsiTheme="majorBidi" w:cstheme="majorBidi"/>
          <w:sz w:val="24"/>
          <w:szCs w:val="24"/>
        </w:rPr>
      </w:pPr>
    </w:p>
    <w:p w:rsidR="00A567FB" w:rsidRPr="00254D61" w:rsidRDefault="00A567FB" w:rsidP="00420450">
      <w:pPr>
        <w:pStyle w:val="1"/>
      </w:pPr>
      <w:r w:rsidRPr="00254D61">
        <w:t>DATA AND METHOD</w:t>
      </w:r>
    </w:p>
    <w:p w:rsidR="00A567FB" w:rsidRPr="00254D61" w:rsidRDefault="00A567FB" w:rsidP="00420450">
      <w:pPr>
        <w:pStyle w:val="2"/>
      </w:pPr>
      <w:r w:rsidRPr="00254D61">
        <w:t>XBRL</w:t>
      </w:r>
    </w:p>
    <w:p w:rsidR="00A567FB" w:rsidRPr="00420450" w:rsidRDefault="00A567FB" w:rsidP="00420450">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 xml:space="preserve">XBRL uses meta information to describe data items and link them together through various relationships. </w:t>
      </w:r>
      <w:proofErr w:type="gramStart"/>
      <w:r w:rsidRPr="00420450">
        <w:rPr>
          <w:rFonts w:asciiTheme="majorBidi" w:hAnsiTheme="majorBidi" w:cstheme="majorBidi"/>
          <w:sz w:val="21"/>
          <w:szCs w:val="21"/>
        </w:rPr>
        <w:t>In order for</w:t>
      </w:r>
      <w:proofErr w:type="gramEnd"/>
      <w:r w:rsidRPr="00420450">
        <w:rPr>
          <w:rFonts w:asciiTheme="majorBidi" w:hAnsiTheme="majorBidi" w:cstheme="majorBidi"/>
          <w:sz w:val="21"/>
          <w:szCs w:val="21"/>
        </w:rPr>
        <w:t xml:space="preserve"> the data to be compared across companies the same taxonomy must be used by all filers. Therefore, the SEC has created the XBRL U.S. GAAP Financial Reporting Taxonomy. This taxonomy defines common rules on how to present standard accounting information in XBRL filings. For companies that wish to file information that is not standard (company specific filings) may do so through extensions. Extensions are an important part of XBRL filings that provide additional reporting flexibility, however </w:t>
      </w:r>
      <w:r w:rsidR="007824DC" w:rsidRPr="00420450">
        <w:rPr>
          <w:rFonts w:asciiTheme="majorBidi" w:hAnsiTheme="majorBidi" w:cstheme="majorBidi"/>
          <w:sz w:val="21"/>
          <w:szCs w:val="21"/>
        </w:rPr>
        <w:t xml:space="preserve">research </w:t>
      </w:r>
      <w:r w:rsidR="007824DC" w:rsidRPr="00420450">
        <w:rPr>
          <w:rFonts w:asciiTheme="majorBidi" w:hAnsiTheme="majorBidi" w:cstheme="majorBidi"/>
          <w:sz w:val="21"/>
          <w:szCs w:val="21"/>
        </w:rPr>
        <w:fldChar w:fldCharType="begin" w:fldLock="1"/>
      </w:r>
      <w:r w:rsidR="0072437C">
        <w:rPr>
          <w:rFonts w:asciiTheme="majorBidi" w:hAnsiTheme="majorBidi" w:cstheme="majorBidi"/>
          <w:sz w:val="21"/>
          <w:szCs w:val="21"/>
        </w:rPr>
        <w:instrText>ADDIN CSL_CITATION { "citationItems" : [ { "id" : "ITEM-1", "itemData" : { "DOI" : "10.2308/acch-50068", "ISBN" : "08887993", "ISSN" : "08887993", "PMID" : "71100624", "abstract" : "The Securities and Exchange Commission (SEC) has adopted the eXtensible Business Reporting Language (XBRL) in a multi-year program to enhance the functionality of the Commission's EDGAR database. Filers tag their financial statements with elements from a taxonomy that defines the reporting concepts so that the XBRL files can be understood by information consumers. The U.S. GAAP taxonomy was designed to represent common reporting practices and support the disclosure requirements of U.S. GAAP. If taxonomy elements for each disclosure concept are not present, the filer creates an extension element. Extensions, when used appropriately, provide decision-relevant information. When used inappropriately, particularly when a semantically equivalent element already exists in the foundation taxonomy, extensions add no information content. This research analyzes extensions made in a subset of XBRL filings made to the SEC between April 2009 and June 2010. Forty percent of these extensions were unnecessary, as semantically equivalent elements were already in the U.S. GAAP taxonomy. Extensions that aggregated or disaggregated existing elements comprised 21 percent of the extensions. New concepts accounted for 30 percent of the extensions, although many were variants of existing elements, rather than significantly new concepts. [ABSTRACT FROM AUTHOR]", "author" : [ { "dropping-particle" : "", "family" : "Debreceny", "given" : "Roger S.", "non-dropping-particle" : "", "parse-names" : false, "suffix" : "" }, { "dropping-particle" : "", "family" : "Farewell", "given" : "Stephanie M.", "non-dropping-particle" : "", "parse-names" : false, "suffix" : "" }, { "dropping-particle" : "", "family" : "Piechocki", "given" : "Maciej", "non-dropping-particle" : "", "parse-names" : false, "suffix" : "" }, { "dropping-particle" : "", "family" : "Felden", "given" : "Carsten", "non-dropping-particle" : "", "parse-names" : false, "suffix" : "" }, { "dropping-particle" : "", "family" : "Gr\u00e4ning", "given" : "Andre", "non-dropping-particle" : "", "parse-names" : false, "suffix" : "" }, { "dropping-particle" : "", "family" : "D'Eri", "given" : "Alessandro", "non-dropping-particle" : "", "parse-names" : false, "suffix" : "" } ], "container-title" : "Accounting Horizons", "id" : "ITEM-1", "issue" : "4", "issued" : { "date-parts" : [ [ "2011" ] ] }, "page" : "631-657", "title" : "Flex or break? Extensions in XBRL disclosures to the SEC", "type" : "article-journal", "volume" : "25" }, "uris" : [ "http://www.mendeley.com/documents/?uuid=fc558c9e-2aa7-40d4-87f5-07959f4502dd" ] } ], "mendeley" : { "formattedCitation" : "(R. S. Debreceny et al., 2011)", "plainTextFormattedCitation" : "(R. S. Debreceny et al., 2011)", "previouslyFormattedCitation" : "(R. S. Debreceny et al., 2011)" }, "properties" : {  }, "schema" : "https://github.com/citation-style-language/schema/raw/master/csl-citation.json" }</w:instrText>
      </w:r>
      <w:r w:rsidR="007824DC" w:rsidRPr="00420450">
        <w:rPr>
          <w:rFonts w:asciiTheme="majorBidi" w:hAnsiTheme="majorBidi" w:cstheme="majorBidi"/>
          <w:sz w:val="21"/>
          <w:szCs w:val="21"/>
        </w:rPr>
        <w:fldChar w:fldCharType="separate"/>
      </w:r>
      <w:r w:rsidR="007824DC" w:rsidRPr="00420450">
        <w:rPr>
          <w:rFonts w:asciiTheme="majorBidi" w:hAnsiTheme="majorBidi" w:cstheme="majorBidi"/>
          <w:noProof/>
          <w:sz w:val="21"/>
          <w:szCs w:val="21"/>
        </w:rPr>
        <w:t>(R. S. Debreceny et al., 2011)</w:t>
      </w:r>
      <w:r w:rsidR="007824DC" w:rsidRPr="00420450">
        <w:rPr>
          <w:rFonts w:asciiTheme="majorBidi" w:hAnsiTheme="majorBidi" w:cstheme="majorBidi"/>
          <w:sz w:val="21"/>
          <w:szCs w:val="21"/>
        </w:rPr>
        <w:fldChar w:fldCharType="end"/>
      </w:r>
      <w:r w:rsidRPr="00420450">
        <w:rPr>
          <w:rFonts w:asciiTheme="majorBidi" w:hAnsiTheme="majorBidi" w:cstheme="majorBidi"/>
          <w:sz w:val="21"/>
          <w:szCs w:val="21"/>
        </w:rPr>
        <w:t xml:space="preserve"> found that 40 percent of all extensions were unnecessary because the corresponding elements exist in the U.S. GAAP Financial Reporting Taxonomy.</w:t>
      </w:r>
    </w:p>
    <w:p w:rsidR="005F56C0" w:rsidRPr="00420450" w:rsidRDefault="00FD34CF" w:rsidP="00420450">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Using the NASDAQ company list (</w:t>
      </w:r>
      <w:hyperlink r:id="rId8" w:history="1">
        <w:r w:rsidRPr="00420450">
          <w:rPr>
            <w:rStyle w:val="Hyperlink"/>
            <w:rFonts w:asciiTheme="majorBidi" w:hAnsiTheme="majorBidi" w:cstheme="majorBidi"/>
            <w:sz w:val="21"/>
            <w:szCs w:val="21"/>
          </w:rPr>
          <w:t>http://www.nasdaq.com/screening/company-list.aspx</w:t>
        </w:r>
      </w:hyperlink>
      <w:r w:rsidRPr="00420450">
        <w:rPr>
          <w:rFonts w:asciiTheme="majorBidi" w:hAnsiTheme="majorBidi" w:cstheme="majorBidi"/>
          <w:sz w:val="21"/>
          <w:szCs w:val="21"/>
        </w:rPr>
        <w:t xml:space="preserve">) all 6,726 </w:t>
      </w:r>
      <w:r w:rsidR="003A0751" w:rsidRPr="00420450">
        <w:rPr>
          <w:rFonts w:asciiTheme="majorBidi" w:hAnsiTheme="majorBidi" w:cstheme="majorBidi"/>
          <w:sz w:val="21"/>
          <w:szCs w:val="21"/>
        </w:rPr>
        <w:t>tickers</w:t>
      </w:r>
      <w:r w:rsidRPr="00420450">
        <w:rPr>
          <w:rFonts w:asciiTheme="majorBidi" w:hAnsiTheme="majorBidi" w:cstheme="majorBidi"/>
          <w:sz w:val="21"/>
          <w:szCs w:val="21"/>
        </w:rPr>
        <w:t xml:space="preserve"> listed on </w:t>
      </w:r>
      <w:proofErr w:type="gramStart"/>
      <w:r w:rsidR="005530C2">
        <w:rPr>
          <w:rFonts w:asciiTheme="majorBidi" w:hAnsiTheme="majorBidi" w:cstheme="majorBidi"/>
          <w:sz w:val="21"/>
          <w:szCs w:val="21"/>
        </w:rPr>
        <w:t>all</w:t>
      </w:r>
      <w:r w:rsidRPr="00420450">
        <w:rPr>
          <w:rFonts w:asciiTheme="majorBidi" w:hAnsiTheme="majorBidi" w:cstheme="majorBidi"/>
          <w:sz w:val="21"/>
          <w:szCs w:val="21"/>
        </w:rPr>
        <w:t xml:space="preserve"> of</w:t>
      </w:r>
      <w:proofErr w:type="gramEnd"/>
      <w:r w:rsidRPr="00420450">
        <w:rPr>
          <w:rFonts w:asciiTheme="majorBidi" w:hAnsiTheme="majorBidi" w:cstheme="majorBidi"/>
          <w:sz w:val="21"/>
          <w:szCs w:val="21"/>
        </w:rPr>
        <w:t xml:space="preserve"> the three major US stock exchanges (AMEX, NASDAQ, and NYSE) were found. </w:t>
      </w:r>
    </w:p>
    <w:p w:rsidR="00A567FB" w:rsidRDefault="00A567FB" w:rsidP="00420450">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The quarterly financial data was obtained using XBRL Analyst</w:t>
      </w:r>
      <w:r w:rsidR="005F56C0" w:rsidRPr="00420450">
        <w:rPr>
          <w:rFonts w:asciiTheme="majorBidi" w:hAnsiTheme="majorBidi" w:cstheme="majorBidi"/>
          <w:sz w:val="21"/>
          <w:szCs w:val="21"/>
        </w:rPr>
        <w:t xml:space="preserve"> (created by </w:t>
      </w:r>
      <w:proofErr w:type="spellStart"/>
      <w:r w:rsidR="005F56C0" w:rsidRPr="00420450">
        <w:rPr>
          <w:rFonts w:asciiTheme="majorBidi" w:hAnsiTheme="majorBidi" w:cstheme="majorBidi"/>
          <w:sz w:val="21"/>
          <w:szCs w:val="21"/>
        </w:rPr>
        <w:t>FinDynamics</w:t>
      </w:r>
      <w:proofErr w:type="spellEnd"/>
      <w:r w:rsidR="005F56C0" w:rsidRPr="00420450">
        <w:rPr>
          <w:rFonts w:asciiTheme="majorBidi" w:hAnsiTheme="majorBidi" w:cstheme="majorBidi"/>
          <w:sz w:val="21"/>
          <w:szCs w:val="21"/>
        </w:rPr>
        <w:t>)</w:t>
      </w:r>
      <w:r w:rsidRPr="00420450">
        <w:rPr>
          <w:rFonts w:asciiTheme="majorBidi" w:hAnsiTheme="majorBidi" w:cstheme="majorBidi"/>
          <w:sz w:val="21"/>
          <w:szCs w:val="21"/>
        </w:rPr>
        <w:t xml:space="preserve">; an Excel plugin that allows users to access the company’s XBRL tagged data from its XBRL SEC filing via the XBRL US database. Using this software not only allows for easy access and analysis of the data but also for the calculation of any missing balances. For example, the balance reported in each XBRL filing for total liabilities is not available on the original XBRL filing but is extracted and calculated on the XBRL Analyst. </w:t>
      </w:r>
    </w:p>
    <w:p w:rsidR="005530C2" w:rsidRPr="00420450" w:rsidRDefault="005530C2" w:rsidP="00420450">
      <w:pPr>
        <w:spacing w:after="0"/>
        <w:ind w:left="0" w:firstLineChars="200" w:firstLine="420"/>
        <w:rPr>
          <w:rFonts w:asciiTheme="majorBidi" w:hAnsiTheme="majorBidi" w:cstheme="majorBidi"/>
          <w:sz w:val="21"/>
          <w:szCs w:val="21"/>
        </w:rPr>
      </w:pPr>
    </w:p>
    <w:p w:rsidR="00A567FB" w:rsidRPr="00254D61" w:rsidRDefault="00A567FB" w:rsidP="00420450">
      <w:pPr>
        <w:pStyle w:val="2"/>
        <w:rPr>
          <w:rtl/>
        </w:rPr>
      </w:pPr>
      <w:r w:rsidRPr="00254D61">
        <w:t>Data</w:t>
      </w:r>
    </w:p>
    <w:p w:rsidR="00A567FB" w:rsidRPr="00420450" w:rsidRDefault="005F56C0" w:rsidP="005530C2">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 xml:space="preserve">Of all 6,726 </w:t>
      </w:r>
      <w:r w:rsidR="003A0751" w:rsidRPr="00420450">
        <w:rPr>
          <w:rFonts w:asciiTheme="majorBidi" w:hAnsiTheme="majorBidi" w:cstheme="majorBidi"/>
          <w:sz w:val="21"/>
          <w:szCs w:val="21"/>
        </w:rPr>
        <w:t>tickers</w:t>
      </w:r>
      <w:r w:rsidRPr="00420450">
        <w:rPr>
          <w:rFonts w:asciiTheme="majorBidi" w:hAnsiTheme="majorBidi" w:cstheme="majorBidi"/>
          <w:sz w:val="21"/>
          <w:szCs w:val="21"/>
        </w:rPr>
        <w:t xml:space="preserve">, only 4,380 </w:t>
      </w:r>
      <w:r w:rsidR="000F2F4F" w:rsidRPr="00420450">
        <w:rPr>
          <w:rFonts w:asciiTheme="majorBidi" w:hAnsiTheme="majorBidi" w:cstheme="majorBidi"/>
          <w:sz w:val="21"/>
          <w:szCs w:val="21"/>
        </w:rPr>
        <w:t xml:space="preserve">of the </w:t>
      </w:r>
      <w:r w:rsidRPr="00420450">
        <w:rPr>
          <w:rFonts w:asciiTheme="majorBidi" w:hAnsiTheme="majorBidi" w:cstheme="majorBidi"/>
          <w:sz w:val="21"/>
          <w:szCs w:val="21"/>
        </w:rPr>
        <w:t xml:space="preserve">companies </w:t>
      </w:r>
      <w:r w:rsidR="000F2F4F" w:rsidRPr="00420450">
        <w:rPr>
          <w:rFonts w:asciiTheme="majorBidi" w:hAnsiTheme="majorBidi" w:cstheme="majorBidi"/>
          <w:sz w:val="21"/>
          <w:szCs w:val="21"/>
        </w:rPr>
        <w:t xml:space="preserve">that </w:t>
      </w:r>
      <w:r w:rsidRPr="00420450">
        <w:rPr>
          <w:rFonts w:asciiTheme="majorBidi" w:hAnsiTheme="majorBidi" w:cstheme="majorBidi"/>
          <w:sz w:val="21"/>
          <w:szCs w:val="21"/>
        </w:rPr>
        <w:t>were</w:t>
      </w:r>
      <w:r w:rsidR="00A567FB" w:rsidRPr="00420450">
        <w:rPr>
          <w:rFonts w:asciiTheme="majorBidi" w:hAnsiTheme="majorBidi" w:cstheme="majorBidi"/>
          <w:sz w:val="21"/>
          <w:szCs w:val="21"/>
        </w:rPr>
        <w:t xml:space="preserve"> traded on Q1, 2016 filed with the SEC financial statements in XBRL format. The data is from quarterly filings from 1</w:t>
      </w:r>
      <w:r w:rsidR="00A567FB" w:rsidRPr="00420450">
        <w:rPr>
          <w:rFonts w:asciiTheme="majorBidi" w:hAnsiTheme="majorBidi" w:cstheme="majorBidi"/>
          <w:sz w:val="21"/>
          <w:szCs w:val="21"/>
          <w:vertAlign w:val="superscript"/>
        </w:rPr>
        <w:t>st</w:t>
      </w:r>
      <w:r w:rsidR="00A567FB" w:rsidRPr="00420450">
        <w:rPr>
          <w:rFonts w:asciiTheme="majorBidi" w:hAnsiTheme="majorBidi" w:cstheme="majorBidi"/>
          <w:sz w:val="21"/>
          <w:szCs w:val="21"/>
        </w:rPr>
        <w:t xml:space="preserve"> quarter of 2011 to 3</w:t>
      </w:r>
      <w:r w:rsidR="00A567FB" w:rsidRPr="00420450">
        <w:rPr>
          <w:rFonts w:asciiTheme="majorBidi" w:hAnsiTheme="majorBidi" w:cstheme="majorBidi"/>
          <w:sz w:val="21"/>
          <w:szCs w:val="21"/>
          <w:vertAlign w:val="superscript"/>
        </w:rPr>
        <w:t>nd</w:t>
      </w:r>
      <w:r w:rsidR="00A567FB" w:rsidRPr="00420450">
        <w:rPr>
          <w:rFonts w:asciiTheme="majorBidi" w:hAnsiTheme="majorBidi" w:cstheme="majorBidi"/>
          <w:sz w:val="21"/>
          <w:szCs w:val="21"/>
        </w:rPr>
        <w:t xml:space="preserve"> quarter of 2016 (23 quarters).  </w:t>
      </w:r>
    </w:p>
    <w:p w:rsidR="00A567FB" w:rsidRPr="00420450" w:rsidRDefault="00A567FB" w:rsidP="00420450">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 xml:space="preserve">Of the </w:t>
      </w:r>
      <w:r w:rsidR="005F56C0" w:rsidRPr="00420450">
        <w:rPr>
          <w:rFonts w:asciiTheme="majorBidi" w:hAnsiTheme="majorBidi" w:cstheme="majorBidi"/>
          <w:sz w:val="21"/>
          <w:szCs w:val="21"/>
        </w:rPr>
        <w:t>4,380</w:t>
      </w:r>
      <w:r w:rsidRPr="00420450">
        <w:rPr>
          <w:rFonts w:asciiTheme="majorBidi" w:hAnsiTheme="majorBidi" w:cstheme="majorBidi"/>
          <w:sz w:val="21"/>
          <w:szCs w:val="21"/>
        </w:rPr>
        <w:t xml:space="preserve"> tickers listed on the </w:t>
      </w:r>
      <w:r w:rsidR="005F56C0" w:rsidRPr="00420450">
        <w:rPr>
          <w:rFonts w:asciiTheme="majorBidi" w:hAnsiTheme="majorBidi" w:cstheme="majorBidi"/>
          <w:sz w:val="21"/>
          <w:szCs w:val="21"/>
        </w:rPr>
        <w:t>different stock exchanges</w:t>
      </w:r>
      <w:r w:rsidRPr="00420450">
        <w:rPr>
          <w:rFonts w:asciiTheme="majorBidi" w:hAnsiTheme="majorBidi" w:cstheme="majorBidi"/>
          <w:sz w:val="21"/>
          <w:szCs w:val="21"/>
        </w:rPr>
        <w:t xml:space="preserve"> </w:t>
      </w:r>
      <w:r w:rsidR="000F2F4F" w:rsidRPr="00420450">
        <w:rPr>
          <w:rFonts w:asciiTheme="majorBidi" w:hAnsiTheme="majorBidi" w:cstheme="majorBidi"/>
          <w:sz w:val="21"/>
          <w:szCs w:val="21"/>
        </w:rPr>
        <w:t>the following tickers were removed: 365 tickers for non-common stocks</w:t>
      </w:r>
      <w:r w:rsidR="00F22E68" w:rsidRPr="00420450">
        <w:rPr>
          <w:rFonts w:asciiTheme="majorBidi" w:hAnsiTheme="majorBidi" w:cstheme="majorBidi"/>
          <w:sz w:val="21"/>
          <w:szCs w:val="21"/>
        </w:rPr>
        <w:t>;</w:t>
      </w:r>
      <w:r w:rsidR="000F2F4F" w:rsidRPr="00420450">
        <w:rPr>
          <w:rFonts w:asciiTheme="majorBidi" w:hAnsiTheme="majorBidi" w:cstheme="majorBidi"/>
          <w:sz w:val="21"/>
          <w:szCs w:val="21"/>
        </w:rPr>
        <w:t xml:space="preserve"> </w:t>
      </w:r>
      <w:r w:rsidR="00F22E68" w:rsidRPr="00420450">
        <w:rPr>
          <w:rFonts w:asciiTheme="majorBidi" w:hAnsiTheme="majorBidi" w:cstheme="majorBidi"/>
          <w:sz w:val="21"/>
          <w:szCs w:val="21"/>
        </w:rPr>
        <w:t xml:space="preserve">387 tickers for companies with IPO's between 2012 and 2017; and 25 tickers for companies with more than one ticker (the same CIK). </w:t>
      </w:r>
    </w:p>
    <w:p w:rsidR="00A567FB" w:rsidRPr="00420450" w:rsidRDefault="00A567FB" w:rsidP="00420450">
      <w:pPr>
        <w:spacing w:after="0"/>
        <w:ind w:left="0" w:firstLineChars="200" w:firstLine="420"/>
        <w:rPr>
          <w:rFonts w:asciiTheme="majorBidi" w:hAnsiTheme="majorBidi" w:cstheme="majorBidi"/>
          <w:sz w:val="21"/>
          <w:szCs w:val="21"/>
        </w:rPr>
      </w:pPr>
      <w:r w:rsidRPr="00420450">
        <w:rPr>
          <w:rFonts w:asciiTheme="majorBidi" w:hAnsiTheme="majorBidi" w:cstheme="majorBidi"/>
          <w:sz w:val="21"/>
          <w:szCs w:val="21"/>
        </w:rPr>
        <w:t xml:space="preserve">The final sample included </w:t>
      </w:r>
      <w:r w:rsidR="004C0C07" w:rsidRPr="00420450">
        <w:rPr>
          <w:rFonts w:asciiTheme="majorBidi" w:hAnsiTheme="majorBidi" w:cstheme="majorBidi"/>
          <w:sz w:val="21"/>
          <w:szCs w:val="21"/>
        </w:rPr>
        <w:t>3,603</w:t>
      </w:r>
      <w:r w:rsidRPr="00420450">
        <w:rPr>
          <w:rFonts w:asciiTheme="majorBidi" w:hAnsiTheme="majorBidi" w:cstheme="majorBidi"/>
          <w:sz w:val="21"/>
          <w:szCs w:val="21"/>
        </w:rPr>
        <w:t xml:space="preserve"> companies (5</w:t>
      </w:r>
      <w:r w:rsidR="004C0C07" w:rsidRPr="00420450">
        <w:rPr>
          <w:rFonts w:asciiTheme="majorBidi" w:hAnsiTheme="majorBidi" w:cstheme="majorBidi"/>
          <w:sz w:val="21"/>
          <w:szCs w:val="21"/>
        </w:rPr>
        <w:t>3</w:t>
      </w:r>
      <w:r w:rsidRPr="00420450">
        <w:rPr>
          <w:rFonts w:asciiTheme="majorBidi" w:hAnsiTheme="majorBidi" w:cstheme="majorBidi"/>
          <w:sz w:val="21"/>
          <w:szCs w:val="21"/>
        </w:rPr>
        <w:t>.</w:t>
      </w:r>
      <w:r w:rsidR="004C0C07" w:rsidRPr="00420450">
        <w:rPr>
          <w:rFonts w:asciiTheme="majorBidi" w:hAnsiTheme="majorBidi" w:cstheme="majorBidi"/>
          <w:sz w:val="21"/>
          <w:szCs w:val="21"/>
        </w:rPr>
        <w:t>6</w:t>
      </w:r>
      <w:r w:rsidRPr="00420450">
        <w:rPr>
          <w:rFonts w:asciiTheme="majorBidi" w:hAnsiTheme="majorBidi" w:cstheme="majorBidi"/>
          <w:sz w:val="21"/>
          <w:szCs w:val="21"/>
        </w:rPr>
        <w:t xml:space="preserve">% of all tickers listed) that were </w:t>
      </w:r>
      <w:r w:rsidR="004C0C07" w:rsidRPr="00420450">
        <w:rPr>
          <w:rFonts w:asciiTheme="majorBidi" w:hAnsiTheme="majorBidi" w:cstheme="majorBidi"/>
          <w:sz w:val="21"/>
          <w:szCs w:val="21"/>
        </w:rPr>
        <w:t xml:space="preserve">publicly </w:t>
      </w:r>
      <w:r w:rsidRPr="00420450">
        <w:rPr>
          <w:rFonts w:asciiTheme="majorBidi" w:hAnsiTheme="majorBidi" w:cstheme="majorBidi"/>
          <w:sz w:val="21"/>
          <w:szCs w:val="21"/>
        </w:rPr>
        <w:t xml:space="preserve">traded on Q1, 2016. </w:t>
      </w:r>
      <w:r w:rsidR="003D6664" w:rsidRPr="00420450">
        <w:rPr>
          <w:rFonts w:asciiTheme="majorBidi" w:hAnsiTheme="majorBidi" w:cstheme="majorBidi"/>
          <w:sz w:val="21"/>
          <w:szCs w:val="21"/>
        </w:rPr>
        <w:t xml:space="preserve">These findings are </w:t>
      </w:r>
      <w:r w:rsidRPr="00420450">
        <w:rPr>
          <w:rFonts w:asciiTheme="majorBidi" w:hAnsiTheme="majorBidi" w:cstheme="majorBidi"/>
          <w:sz w:val="21"/>
          <w:szCs w:val="21"/>
        </w:rPr>
        <w:t xml:space="preserve">compatible with previous </w:t>
      </w:r>
      <w:r w:rsidR="003D6664" w:rsidRPr="00420450">
        <w:rPr>
          <w:rFonts w:asciiTheme="majorBidi" w:hAnsiTheme="majorBidi" w:cstheme="majorBidi"/>
          <w:sz w:val="21"/>
          <w:szCs w:val="21"/>
        </w:rPr>
        <w:t xml:space="preserve">studies where the final </w:t>
      </w:r>
      <w:r w:rsidRPr="00420450">
        <w:rPr>
          <w:rFonts w:asciiTheme="majorBidi" w:hAnsiTheme="majorBidi" w:cstheme="majorBidi"/>
          <w:sz w:val="21"/>
          <w:szCs w:val="21"/>
        </w:rPr>
        <w:t>sample included 296 companies (59.2%)</w:t>
      </w:r>
      <w:r w:rsidR="003D6664" w:rsidRPr="00420450">
        <w:rPr>
          <w:rFonts w:asciiTheme="majorBidi" w:hAnsiTheme="majorBidi" w:cstheme="majorBidi"/>
          <w:sz w:val="21"/>
          <w:szCs w:val="21"/>
        </w:rPr>
        <w:t xml:space="preserve"> </w:t>
      </w:r>
      <w:r w:rsidR="003D6664" w:rsidRPr="00420450">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"author" : [ { "dropping-particle" : "", "family" : "Williams", "given" : "Kelly L", "non-dropping-particle" : "", "parse-names" : false, "suffix" : "" } ], "id" : "ITEM-1", "issue" : "August", "issued" : { "date-parts" : [ [ "2015" ] ] }, "title" : "The Prediction of Future Earnings Using Financial Statement Information: Are XBRL Company Filings up to the Task?", "type" : "report" }, "uris" : [ "http://www.mendeley.com/documents/?uuid=84aca0ab-a29e-4cbf-b95b-5c84ac0b66fd" ] } ], "mendeley" : { "formattedCitation" : "(Williams, 2015)", "plainTextFormattedCitation" : "(Williams, 2015)", "previouslyFormattedCitation" : "(Williams, 2015)" }, "properties" : {  }, "schema" : "https://github.com/citation-style-language/schema/raw/master/csl-citation.json" }</w:instrText>
      </w:r>
      <w:r w:rsidR="003D6664" w:rsidRPr="00420450">
        <w:rPr>
          <w:rFonts w:asciiTheme="majorBidi" w:hAnsiTheme="majorBidi" w:cstheme="majorBidi"/>
          <w:sz w:val="21"/>
          <w:szCs w:val="21"/>
        </w:rPr>
        <w:fldChar w:fldCharType="separate"/>
      </w:r>
      <w:r w:rsidR="003D6664" w:rsidRPr="00420450">
        <w:rPr>
          <w:rFonts w:asciiTheme="majorBidi" w:hAnsiTheme="majorBidi" w:cstheme="majorBidi"/>
          <w:noProof/>
          <w:sz w:val="21"/>
          <w:szCs w:val="21"/>
        </w:rPr>
        <w:t>(Williams, 2015)</w:t>
      </w:r>
      <w:r w:rsidR="003D6664" w:rsidRPr="00420450">
        <w:rPr>
          <w:rFonts w:asciiTheme="majorBidi" w:hAnsiTheme="majorBidi" w:cstheme="majorBidi"/>
          <w:sz w:val="21"/>
          <w:szCs w:val="21"/>
        </w:rPr>
        <w:fldChar w:fldCharType="end"/>
      </w:r>
      <w:r w:rsidRPr="00420450">
        <w:rPr>
          <w:rFonts w:asciiTheme="majorBidi" w:hAnsiTheme="majorBidi" w:cstheme="majorBidi"/>
          <w:sz w:val="21"/>
          <w:szCs w:val="21"/>
        </w:rPr>
        <w:t xml:space="preserve">, 343 companies (68.6%) </w:t>
      </w:r>
      <w:r w:rsidR="003D6664" w:rsidRPr="00420450">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"10.4172/2472-114X.1000143", "ISSN" : "2472114X", "author" : [ { "dropping-particle" : "", "family" : "Baranes", "given" : "Amos", "non-dropping-particle" : "", "parse-names" : false, "suffix" : "" }, { "dropping-particle" : "", "family" : "Palas", "given" : "Rimona", "non-dropping-particle" : "", "parse-names" : false, "suffix" : "" } ], "container-title" : "International Journal of Accounting Research", "id" : "ITEM-1", "issue" : "2", "issued" : { "date-parts" : [ [ "2016" ] ] }, "page" : "1-7", "title" : "The Prediction of Earnings Movements Using Accounting Data: Using XBRL", "type" : "article-journal", "volume" : "04" }, "uris" : [ "http://www.mendeley.com/documents/?uuid=179559cf-4938-4c16-b4d1-f013bb43f160" ] } ], "mendeley" : { "formattedCitation" : "(Baranes &amp; Palas, 2016)", "plainTextFormattedCitation" : "(Baranes &amp; Palas, 2016)", "previouslyFormattedCitation" : "(Baranes &amp; Palas, 2016)" }, "properties" : {  }, "schema" : "https://github.com/citation-style-language/schema/raw/master/csl-citation.json" }</w:instrText>
      </w:r>
      <w:r w:rsidR="003D6664" w:rsidRPr="00420450">
        <w:rPr>
          <w:rFonts w:asciiTheme="majorBidi" w:hAnsiTheme="majorBidi" w:cstheme="majorBidi"/>
          <w:sz w:val="21"/>
          <w:szCs w:val="21"/>
        </w:rPr>
        <w:fldChar w:fldCharType="separate"/>
      </w:r>
      <w:r w:rsidR="003D6664" w:rsidRPr="00420450">
        <w:rPr>
          <w:rFonts w:asciiTheme="majorBidi" w:hAnsiTheme="majorBidi" w:cstheme="majorBidi"/>
          <w:noProof/>
          <w:sz w:val="21"/>
          <w:szCs w:val="21"/>
        </w:rPr>
        <w:t>(Baranes &amp; Palas, 2016)</w:t>
      </w:r>
      <w:r w:rsidR="003D6664" w:rsidRPr="00420450">
        <w:rPr>
          <w:rFonts w:asciiTheme="majorBidi" w:hAnsiTheme="majorBidi" w:cstheme="majorBidi"/>
          <w:sz w:val="21"/>
          <w:szCs w:val="21"/>
        </w:rPr>
        <w:fldChar w:fldCharType="end"/>
      </w:r>
      <w:r w:rsidR="003D6664" w:rsidRPr="00420450">
        <w:rPr>
          <w:rFonts w:asciiTheme="majorBidi" w:hAnsiTheme="majorBidi" w:cstheme="majorBidi"/>
          <w:sz w:val="21"/>
          <w:szCs w:val="21"/>
        </w:rPr>
        <w:t xml:space="preserve"> </w:t>
      </w:r>
      <w:r w:rsidRPr="00420450">
        <w:rPr>
          <w:rFonts w:asciiTheme="majorBidi" w:hAnsiTheme="majorBidi" w:cstheme="majorBidi"/>
          <w:sz w:val="21"/>
          <w:szCs w:val="21"/>
        </w:rPr>
        <w:t>of the total population of S&amp;P 500 companies. Table 1 lists descriptive data for these companies.</w:t>
      </w:r>
    </w:p>
    <w:p w:rsidR="00A567FB" w:rsidRPr="00254D61" w:rsidRDefault="00A567FB" w:rsidP="00530BF5">
      <w:pPr>
        <w:jc w:val="center"/>
        <w:rPr>
          <w:rFonts w:asciiTheme="majorBidi" w:eastAsiaTheme="majorEastAsia" w:hAnsiTheme="majorBidi" w:cstheme="majorBidi"/>
          <w:b/>
          <w:bCs/>
          <w:sz w:val="20"/>
          <w:szCs w:val="20"/>
          <w:u w:val="single"/>
          <w:lang w:bidi="ar-SA"/>
        </w:rPr>
      </w:pPr>
      <w:r w:rsidRPr="00254D61">
        <w:rPr>
          <w:rFonts w:asciiTheme="majorBidi" w:eastAsiaTheme="majorEastAsia" w:hAnsiTheme="majorBidi" w:cstheme="majorBidi"/>
          <w:b/>
          <w:bCs/>
          <w:sz w:val="20"/>
          <w:szCs w:val="20"/>
          <w:u w:val="single"/>
          <w:lang w:bidi="ar-SA"/>
        </w:rPr>
        <w:t xml:space="preserve">Table 1 - </w:t>
      </w:r>
      <w:r w:rsidR="00BA566B" w:rsidRPr="00254D61">
        <w:rPr>
          <w:rFonts w:asciiTheme="majorBidi" w:hAnsiTheme="majorBidi" w:cstheme="majorBidi"/>
          <w:b/>
          <w:bCs/>
          <w:sz w:val="20"/>
          <w:szCs w:val="20"/>
        </w:rPr>
        <w:t>D</w:t>
      </w:r>
      <w:r w:rsidRPr="00254D61">
        <w:rPr>
          <w:rFonts w:asciiTheme="majorBidi" w:hAnsiTheme="majorBidi" w:cstheme="majorBidi"/>
          <w:b/>
          <w:bCs/>
          <w:sz w:val="20"/>
          <w:szCs w:val="20"/>
        </w:rPr>
        <w:t xml:space="preserve">escriptive </w:t>
      </w:r>
      <w:r w:rsidR="00BA566B" w:rsidRPr="00254D61">
        <w:rPr>
          <w:rFonts w:asciiTheme="majorBidi" w:hAnsiTheme="majorBidi" w:cstheme="majorBidi"/>
          <w:b/>
          <w:bCs/>
          <w:sz w:val="20"/>
          <w:szCs w:val="20"/>
        </w:rPr>
        <w:t>D</w:t>
      </w:r>
      <w:r w:rsidRPr="00254D61">
        <w:rPr>
          <w:rFonts w:asciiTheme="majorBidi" w:hAnsiTheme="majorBidi" w:cstheme="majorBidi"/>
          <w:b/>
          <w:bCs/>
          <w:sz w:val="20"/>
          <w:szCs w:val="20"/>
        </w:rPr>
        <w:t xml:space="preserve">ata for the </w:t>
      </w:r>
      <w:r w:rsidR="00BA566B" w:rsidRPr="00254D61">
        <w:rPr>
          <w:rFonts w:asciiTheme="majorBidi" w:hAnsiTheme="majorBidi" w:cstheme="majorBidi"/>
          <w:b/>
          <w:bCs/>
          <w:sz w:val="20"/>
          <w:szCs w:val="20"/>
        </w:rPr>
        <w:t>S</w:t>
      </w:r>
      <w:r w:rsidRPr="00254D61">
        <w:rPr>
          <w:rFonts w:asciiTheme="majorBidi" w:hAnsiTheme="majorBidi" w:cstheme="majorBidi"/>
          <w:b/>
          <w:bCs/>
          <w:sz w:val="20"/>
          <w:szCs w:val="20"/>
        </w:rPr>
        <w:t xml:space="preserve">tudy </w:t>
      </w:r>
      <w:r w:rsidR="00BA566B" w:rsidRPr="00254D61">
        <w:rPr>
          <w:rFonts w:asciiTheme="majorBidi" w:hAnsiTheme="majorBidi" w:cstheme="majorBidi"/>
          <w:b/>
          <w:bCs/>
          <w:sz w:val="20"/>
          <w:szCs w:val="20"/>
        </w:rPr>
        <w:t>S</w:t>
      </w:r>
      <w:r w:rsidRPr="00254D61">
        <w:rPr>
          <w:rFonts w:asciiTheme="majorBidi" w:hAnsiTheme="majorBidi" w:cstheme="majorBidi"/>
          <w:b/>
          <w:bCs/>
          <w:sz w:val="20"/>
          <w:szCs w:val="20"/>
        </w:rPr>
        <w:t>ample</w:t>
      </w:r>
    </w:p>
    <w:tbl>
      <w:tblPr>
        <w:tblW w:w="9782" w:type="dxa"/>
        <w:tblInd w:w="-294" w:type="dxa"/>
        <w:tblLook w:val="04A0" w:firstRow="1" w:lastRow="0" w:firstColumn="1" w:lastColumn="0" w:noHBand="0" w:noVBand="1"/>
      </w:tblPr>
      <w:tblGrid>
        <w:gridCol w:w="1702"/>
        <w:gridCol w:w="3603"/>
        <w:gridCol w:w="23"/>
        <w:gridCol w:w="1213"/>
        <w:gridCol w:w="23"/>
        <w:gridCol w:w="1800"/>
        <w:gridCol w:w="1418"/>
      </w:tblGrid>
      <w:tr w:rsidR="008170EA" w:rsidRPr="00254D61" w:rsidTr="00860ED7">
        <w:trPr>
          <w:cantSplit/>
          <w:trHeight w:val="20"/>
        </w:trPr>
        <w:tc>
          <w:tcPr>
            <w:tcW w:w="17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 </w:t>
            </w:r>
          </w:p>
        </w:tc>
        <w:tc>
          <w:tcPr>
            <w:tcW w:w="3626" w:type="dxa"/>
            <w:gridSpan w:val="2"/>
            <w:tcBorders>
              <w:top w:val="single" w:sz="8" w:space="0" w:color="auto"/>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 </w:t>
            </w:r>
          </w:p>
        </w:tc>
        <w:tc>
          <w:tcPr>
            <w:tcW w:w="1236" w:type="dxa"/>
            <w:gridSpan w:val="2"/>
            <w:tcBorders>
              <w:top w:val="single" w:sz="8" w:space="0" w:color="auto"/>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N</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Frequency</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Percent</w:t>
            </w:r>
          </w:p>
        </w:tc>
      </w:tr>
      <w:tr w:rsidR="003A0751" w:rsidRPr="00254D61" w:rsidTr="00860ED7">
        <w:trPr>
          <w:trHeight w:val="20"/>
        </w:trPr>
        <w:tc>
          <w:tcPr>
            <w:tcW w:w="1702" w:type="dxa"/>
            <w:vMerge w:val="restart"/>
            <w:tcBorders>
              <w:top w:val="nil"/>
              <w:left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Stock Exchange</w:t>
            </w:r>
          </w:p>
        </w:tc>
        <w:tc>
          <w:tcPr>
            <w:tcW w:w="3626" w:type="dxa"/>
            <w:gridSpan w:val="2"/>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AMEX</w:t>
            </w:r>
          </w:p>
        </w:tc>
        <w:tc>
          <w:tcPr>
            <w:tcW w:w="1236" w:type="dxa"/>
            <w:gridSpan w:val="2"/>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12</w:t>
            </w:r>
          </w:p>
        </w:tc>
        <w:tc>
          <w:tcPr>
            <w:tcW w:w="1418" w:type="dxa"/>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0.33%</w:t>
            </w:r>
          </w:p>
        </w:tc>
      </w:tr>
      <w:tr w:rsidR="003A0751" w:rsidRPr="00254D61" w:rsidTr="00860ED7">
        <w:trPr>
          <w:trHeight w:val="20"/>
        </w:trPr>
        <w:tc>
          <w:tcPr>
            <w:tcW w:w="1702" w:type="dxa"/>
            <w:vMerge/>
            <w:tcBorders>
              <w:left w:val="single" w:sz="8" w:space="0" w:color="auto"/>
              <w:right w:val="single" w:sz="8" w:space="0" w:color="auto"/>
            </w:tcBorders>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p>
        </w:tc>
        <w:tc>
          <w:tcPr>
            <w:tcW w:w="3603" w:type="dxa"/>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NASDAQ</w:t>
            </w:r>
          </w:p>
        </w:tc>
        <w:tc>
          <w:tcPr>
            <w:tcW w:w="1236" w:type="dxa"/>
            <w:gridSpan w:val="2"/>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23" w:type="dxa"/>
            <w:gridSpan w:val="2"/>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1702</w:t>
            </w:r>
          </w:p>
        </w:tc>
        <w:tc>
          <w:tcPr>
            <w:tcW w:w="1418" w:type="dxa"/>
            <w:tcBorders>
              <w:top w:val="nil"/>
              <w:left w:val="nil"/>
              <w:bottom w:val="single" w:sz="8" w:space="0" w:color="auto"/>
              <w:right w:val="single" w:sz="8" w:space="0" w:color="auto"/>
            </w:tcBorders>
            <w:shd w:val="clear" w:color="auto" w:fill="auto"/>
            <w:vAlign w:val="center"/>
            <w:hideMark/>
          </w:tcPr>
          <w:p w:rsidR="003A0751" w:rsidRPr="00420450" w:rsidRDefault="00860ED7"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47.24%</w:t>
            </w:r>
          </w:p>
        </w:tc>
      </w:tr>
      <w:tr w:rsidR="003A0751" w:rsidRPr="00254D61" w:rsidTr="00860ED7">
        <w:trPr>
          <w:trHeight w:val="20"/>
        </w:trPr>
        <w:tc>
          <w:tcPr>
            <w:tcW w:w="1702" w:type="dxa"/>
            <w:vMerge/>
            <w:tcBorders>
              <w:left w:val="single" w:sz="8" w:space="0" w:color="auto"/>
              <w:bottom w:val="single" w:sz="8" w:space="0" w:color="000000"/>
              <w:right w:val="single" w:sz="8" w:space="0" w:color="auto"/>
            </w:tcBorders>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NYSE</w:t>
            </w:r>
          </w:p>
        </w:tc>
        <w:tc>
          <w:tcPr>
            <w:tcW w:w="1236" w:type="dxa"/>
            <w:gridSpan w:val="2"/>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1889</w:t>
            </w:r>
          </w:p>
        </w:tc>
        <w:tc>
          <w:tcPr>
            <w:tcW w:w="1418" w:type="dxa"/>
            <w:tcBorders>
              <w:top w:val="nil"/>
              <w:left w:val="nil"/>
              <w:bottom w:val="single" w:sz="8" w:space="0" w:color="auto"/>
              <w:right w:val="single" w:sz="8" w:space="0" w:color="auto"/>
            </w:tcBorders>
            <w:shd w:val="clear" w:color="auto" w:fill="auto"/>
            <w:vAlign w:val="center"/>
            <w:hideMark/>
          </w:tcPr>
          <w:p w:rsidR="003A0751" w:rsidRPr="00420450" w:rsidRDefault="003A0751"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52.43%</w:t>
            </w:r>
          </w:p>
        </w:tc>
      </w:tr>
      <w:tr w:rsidR="008170EA" w:rsidRPr="00254D61" w:rsidTr="00860ED7">
        <w:trPr>
          <w:cantSplit/>
          <w:trHeight w:val="20"/>
        </w:trPr>
        <w:tc>
          <w:tcPr>
            <w:tcW w:w="1702" w:type="dxa"/>
            <w:vMerge w:val="restart"/>
            <w:tcBorders>
              <w:top w:val="nil"/>
              <w:left w:val="single" w:sz="8" w:space="0" w:color="auto"/>
              <w:bottom w:val="single" w:sz="8" w:space="0" w:color="000000"/>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Size (Revenues)</w:t>
            </w: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&lt; $10,000,000</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612</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16.99%</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$10,000,000- $100,000,000</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1062</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29.48%</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$100,000,000-$500,000,000</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998</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27.70%</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$500,000,000-$1,000,000,000</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358</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9.94%</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$1,000,000,000-$10,000,000,000</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515</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14.29%</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$10,000,000,000-$100,000,000,000</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57</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1.58%</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&gt;$100,000,000,000</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1</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0.03%</w:t>
            </w:r>
          </w:p>
        </w:tc>
      </w:tr>
      <w:tr w:rsidR="008170EA" w:rsidRPr="00254D61" w:rsidTr="00860ED7">
        <w:trPr>
          <w:trHeight w:val="20"/>
        </w:trPr>
        <w:tc>
          <w:tcPr>
            <w:tcW w:w="1702" w:type="dxa"/>
            <w:vMerge w:val="restart"/>
            <w:tcBorders>
              <w:top w:val="nil"/>
              <w:left w:val="single" w:sz="8" w:space="0" w:color="auto"/>
              <w:bottom w:val="single" w:sz="8" w:space="0" w:color="000000"/>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Industry (SIC Code)</w:t>
            </w: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Agriculture, Forestry and Fishing (01-09)</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12</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0.33%</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Mining (10-14)</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181</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5.02%</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Construction (15-17)</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52</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1.44%</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Manufacturing (20-39)</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1329</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36.89%</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254D61" w:rsidRDefault="008170EA" w:rsidP="00185AE4">
            <w:pPr>
              <w:spacing w:after="0" w:line="240" w:lineRule="auto"/>
              <w:rPr>
                <w:rFonts w:asciiTheme="majorBidi" w:eastAsia="Times New Roman" w:hAnsiTheme="majorBidi" w:cstheme="majorBidi"/>
                <w:color w:val="000000"/>
                <w:sz w:val="24"/>
                <w:szCs w:val="24"/>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 xml:space="preserve">Transportation, Communications, </w:t>
            </w:r>
            <w:proofErr w:type="gramStart"/>
            <w:r w:rsidRPr="00420450">
              <w:rPr>
                <w:rFonts w:asciiTheme="majorBidi" w:eastAsia="Times New Roman" w:hAnsiTheme="majorBidi" w:cstheme="majorBidi"/>
                <w:color w:val="000000"/>
                <w:sz w:val="21"/>
                <w:szCs w:val="21"/>
              </w:rPr>
              <w:t>Electric,  Gas</w:t>
            </w:r>
            <w:proofErr w:type="gramEnd"/>
            <w:r w:rsidRPr="00420450">
              <w:rPr>
                <w:rFonts w:asciiTheme="majorBidi" w:eastAsia="Times New Roman" w:hAnsiTheme="majorBidi" w:cstheme="majorBidi"/>
                <w:color w:val="000000"/>
                <w:sz w:val="21"/>
                <w:szCs w:val="21"/>
              </w:rPr>
              <w:t xml:space="preserve"> and Sanitary Services (40-49)</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310</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8.60%</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254D61" w:rsidRDefault="008170EA" w:rsidP="00185AE4">
            <w:pPr>
              <w:spacing w:after="0" w:line="240" w:lineRule="auto"/>
              <w:rPr>
                <w:rFonts w:asciiTheme="majorBidi" w:eastAsia="Times New Roman" w:hAnsiTheme="majorBidi" w:cstheme="majorBidi"/>
                <w:color w:val="000000"/>
                <w:sz w:val="24"/>
                <w:szCs w:val="24"/>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Wholesale Trade (50-51)</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104</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2.89%</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254D61" w:rsidRDefault="008170EA" w:rsidP="00185AE4">
            <w:pPr>
              <w:spacing w:after="0" w:line="240" w:lineRule="auto"/>
              <w:rPr>
                <w:rFonts w:asciiTheme="majorBidi" w:eastAsia="Times New Roman" w:hAnsiTheme="majorBidi" w:cstheme="majorBidi"/>
                <w:color w:val="000000"/>
                <w:sz w:val="24"/>
                <w:szCs w:val="24"/>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Retail Trade (52-59)</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204</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5.66%</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254D61" w:rsidRDefault="008170EA" w:rsidP="00185AE4">
            <w:pPr>
              <w:spacing w:after="0" w:line="240" w:lineRule="auto"/>
              <w:rPr>
                <w:rFonts w:asciiTheme="majorBidi" w:eastAsia="Times New Roman" w:hAnsiTheme="majorBidi" w:cstheme="majorBidi"/>
                <w:color w:val="000000"/>
                <w:sz w:val="24"/>
                <w:szCs w:val="24"/>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Real Estate (60-67)</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861</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23.90%</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254D61" w:rsidRDefault="008170EA" w:rsidP="00185AE4">
            <w:pPr>
              <w:spacing w:after="0" w:line="240" w:lineRule="auto"/>
              <w:rPr>
                <w:rFonts w:asciiTheme="majorBidi" w:eastAsia="Times New Roman" w:hAnsiTheme="majorBidi" w:cstheme="majorBidi"/>
                <w:color w:val="000000"/>
                <w:sz w:val="24"/>
                <w:szCs w:val="24"/>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Services (70-89)</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550</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15.27%</w:t>
            </w:r>
          </w:p>
        </w:tc>
      </w:tr>
      <w:tr w:rsidR="008170EA" w:rsidRPr="00254D61" w:rsidTr="00860ED7">
        <w:trPr>
          <w:trHeight w:val="20"/>
        </w:trPr>
        <w:tc>
          <w:tcPr>
            <w:tcW w:w="1702" w:type="dxa"/>
            <w:vMerge/>
            <w:tcBorders>
              <w:top w:val="nil"/>
              <w:left w:val="single" w:sz="8" w:space="0" w:color="auto"/>
              <w:bottom w:val="single" w:sz="8" w:space="0" w:color="000000"/>
              <w:right w:val="single" w:sz="8" w:space="0" w:color="auto"/>
            </w:tcBorders>
            <w:vAlign w:val="center"/>
            <w:hideMark/>
          </w:tcPr>
          <w:p w:rsidR="008170EA" w:rsidRPr="00254D61" w:rsidRDefault="008170EA" w:rsidP="00185AE4">
            <w:pPr>
              <w:spacing w:after="0" w:line="240" w:lineRule="auto"/>
              <w:rPr>
                <w:rFonts w:asciiTheme="majorBidi" w:eastAsia="Times New Roman" w:hAnsiTheme="majorBidi" w:cstheme="majorBidi"/>
                <w:color w:val="000000"/>
                <w:sz w:val="24"/>
                <w:szCs w:val="24"/>
              </w:rPr>
            </w:pPr>
          </w:p>
        </w:tc>
        <w:tc>
          <w:tcPr>
            <w:tcW w:w="362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Public Administration (91-99)</w:t>
            </w:r>
          </w:p>
        </w:tc>
        <w:tc>
          <w:tcPr>
            <w:tcW w:w="1236" w:type="dxa"/>
            <w:gridSpan w:val="2"/>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tl/>
              </w:rPr>
              <w:t>3,603</w:t>
            </w:r>
          </w:p>
        </w:tc>
        <w:tc>
          <w:tcPr>
            <w:tcW w:w="1800"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tl/>
              </w:rPr>
            </w:pPr>
            <w:r w:rsidRPr="00420450">
              <w:rPr>
                <w:rFonts w:asciiTheme="majorBidi" w:eastAsia="Times New Roman" w:hAnsiTheme="majorBidi" w:cstheme="majorBidi"/>
                <w:color w:val="000000"/>
                <w:sz w:val="21"/>
                <w:szCs w:val="21"/>
              </w:rPr>
              <w:t>0</w:t>
            </w:r>
          </w:p>
        </w:tc>
        <w:tc>
          <w:tcPr>
            <w:tcW w:w="1418" w:type="dxa"/>
            <w:tcBorders>
              <w:top w:val="nil"/>
              <w:left w:val="nil"/>
              <w:bottom w:val="single" w:sz="8" w:space="0" w:color="auto"/>
              <w:right w:val="single" w:sz="8" w:space="0" w:color="auto"/>
            </w:tcBorders>
            <w:shd w:val="clear" w:color="auto" w:fill="auto"/>
            <w:vAlign w:val="center"/>
            <w:hideMark/>
          </w:tcPr>
          <w:p w:rsidR="008170EA" w:rsidRPr="00420450" w:rsidRDefault="008170EA" w:rsidP="00185AE4">
            <w:pPr>
              <w:spacing w:after="0" w:line="240" w:lineRule="auto"/>
              <w:rPr>
                <w:rFonts w:asciiTheme="majorBidi" w:eastAsia="Times New Roman" w:hAnsiTheme="majorBidi" w:cstheme="majorBidi"/>
                <w:color w:val="000000"/>
                <w:sz w:val="21"/>
                <w:szCs w:val="21"/>
              </w:rPr>
            </w:pPr>
            <w:r w:rsidRPr="00420450">
              <w:rPr>
                <w:rFonts w:asciiTheme="majorBidi" w:eastAsia="Times New Roman" w:hAnsiTheme="majorBidi" w:cstheme="majorBidi"/>
                <w:color w:val="000000"/>
                <w:sz w:val="21"/>
                <w:szCs w:val="21"/>
              </w:rPr>
              <w:t>0.00%</w:t>
            </w:r>
          </w:p>
        </w:tc>
      </w:tr>
    </w:tbl>
    <w:p w:rsidR="00A567FB" w:rsidRPr="00254D61" w:rsidRDefault="00A567FB" w:rsidP="00530BF5">
      <w:pPr>
        <w:rPr>
          <w:rFonts w:asciiTheme="majorBidi" w:hAnsiTheme="majorBidi" w:cstheme="majorBidi"/>
          <w:sz w:val="24"/>
          <w:szCs w:val="24"/>
          <w:u w:val="single"/>
        </w:rPr>
      </w:pPr>
    </w:p>
    <w:p w:rsidR="006B7E82"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In the attempt to duplicate the </w:t>
      </w:r>
      <w:proofErr w:type="spellStart"/>
      <w:r w:rsidRPr="001B2E24">
        <w:rPr>
          <w:rFonts w:asciiTheme="majorBidi" w:hAnsiTheme="majorBidi" w:cstheme="majorBidi"/>
          <w:sz w:val="21"/>
          <w:szCs w:val="21"/>
        </w:rPr>
        <w:t>Ou</w:t>
      </w:r>
      <w:proofErr w:type="spellEnd"/>
      <w:r w:rsidRPr="001B2E24">
        <w:rPr>
          <w:rFonts w:asciiTheme="majorBidi" w:hAnsiTheme="majorBidi" w:cstheme="majorBidi"/>
          <w:sz w:val="21"/>
          <w:szCs w:val="21"/>
        </w:rPr>
        <w:t xml:space="preserve"> and Penman (1989) study as closely as possible </w:t>
      </w:r>
      <w:r w:rsidR="009D4003" w:rsidRPr="001B2E24">
        <w:rPr>
          <w:rFonts w:asciiTheme="majorBidi" w:hAnsiTheme="majorBidi" w:cstheme="majorBidi"/>
          <w:sz w:val="21"/>
          <w:szCs w:val="21"/>
        </w:rPr>
        <w:t>6</w:t>
      </w:r>
      <w:r w:rsidR="00BD094B" w:rsidRPr="001B2E24">
        <w:rPr>
          <w:rFonts w:asciiTheme="majorBidi" w:hAnsiTheme="majorBidi" w:cstheme="majorBidi"/>
          <w:sz w:val="21"/>
          <w:szCs w:val="21"/>
        </w:rPr>
        <w:t>8</w:t>
      </w:r>
      <w:r w:rsidRPr="001B2E24">
        <w:rPr>
          <w:rFonts w:asciiTheme="majorBidi" w:hAnsiTheme="majorBidi" w:cstheme="majorBidi"/>
          <w:sz w:val="21"/>
          <w:szCs w:val="21"/>
        </w:rPr>
        <w:t xml:space="preserve"> variables were </w:t>
      </w:r>
      <w:r w:rsidR="006B7E82" w:rsidRPr="001B2E24">
        <w:rPr>
          <w:rFonts w:asciiTheme="majorBidi" w:hAnsiTheme="majorBidi" w:cstheme="majorBidi"/>
          <w:sz w:val="21"/>
          <w:szCs w:val="21"/>
        </w:rPr>
        <w:t xml:space="preserve">extracted from the </w:t>
      </w:r>
      <w:r w:rsidR="00D540AB">
        <w:rPr>
          <w:rFonts w:asciiTheme="majorBidi" w:hAnsiTheme="majorBidi" w:cstheme="majorBidi"/>
          <w:sz w:val="21"/>
          <w:szCs w:val="21"/>
        </w:rPr>
        <w:t xml:space="preserve">XBRL filing </w:t>
      </w:r>
      <w:r w:rsidR="006B7E82" w:rsidRPr="001B2E24">
        <w:rPr>
          <w:rFonts w:asciiTheme="majorBidi" w:hAnsiTheme="majorBidi" w:cstheme="majorBidi"/>
          <w:sz w:val="21"/>
          <w:szCs w:val="21"/>
        </w:rPr>
        <w:t>data</w:t>
      </w:r>
      <w:r w:rsidRPr="001B2E24">
        <w:rPr>
          <w:rFonts w:asciiTheme="majorBidi" w:hAnsiTheme="majorBidi" w:cstheme="majorBidi"/>
          <w:sz w:val="21"/>
          <w:szCs w:val="21"/>
        </w:rPr>
        <w:t xml:space="preserve">. </w:t>
      </w:r>
      <w:r w:rsidR="006B7E82" w:rsidRPr="001B2E24">
        <w:rPr>
          <w:rFonts w:asciiTheme="majorBidi" w:hAnsiTheme="majorBidi" w:cstheme="majorBidi"/>
          <w:sz w:val="21"/>
          <w:szCs w:val="21"/>
        </w:rPr>
        <w:t xml:space="preserve">It should be noted that some of the variables had to be calculated from the original filing, </w:t>
      </w:r>
      <w:r w:rsidR="00EB7C96" w:rsidRPr="001B2E24">
        <w:rPr>
          <w:rFonts w:asciiTheme="majorBidi" w:hAnsiTheme="majorBidi" w:cstheme="majorBidi"/>
          <w:sz w:val="21"/>
          <w:szCs w:val="21"/>
        </w:rPr>
        <w:t xml:space="preserve">whereas </w:t>
      </w:r>
      <w:r w:rsidR="006B7E82" w:rsidRPr="001B2E24">
        <w:rPr>
          <w:rFonts w:asciiTheme="majorBidi" w:hAnsiTheme="majorBidi" w:cstheme="majorBidi"/>
          <w:sz w:val="21"/>
          <w:szCs w:val="21"/>
        </w:rPr>
        <w:t>some variables were already calculated as part of the XBRL Analyst tool. This database contained 79,191 records</w:t>
      </w:r>
      <w:r w:rsidR="00EB7C96" w:rsidRPr="001B2E24">
        <w:rPr>
          <w:rFonts w:asciiTheme="majorBidi" w:hAnsiTheme="majorBidi" w:cstheme="majorBidi"/>
          <w:sz w:val="21"/>
          <w:szCs w:val="21"/>
        </w:rPr>
        <w:t xml:space="preserve">. </w:t>
      </w:r>
      <w:r w:rsidR="003D6664" w:rsidRPr="001B2E24">
        <w:rPr>
          <w:rFonts w:asciiTheme="majorBidi" w:hAnsiTheme="majorBidi" w:cstheme="majorBidi"/>
          <w:sz w:val="21"/>
          <w:szCs w:val="21"/>
        </w:rPr>
        <w:t>To</w:t>
      </w:r>
      <w:r w:rsidR="00EB7C96" w:rsidRPr="001B2E24">
        <w:rPr>
          <w:rFonts w:asciiTheme="majorBidi" w:hAnsiTheme="majorBidi" w:cstheme="majorBidi"/>
          <w:sz w:val="21"/>
          <w:szCs w:val="21"/>
        </w:rPr>
        <w:t xml:space="preserve"> calculate growth variables and drifts, additional records were eliminated, which left 58 variables and 60,498 records.</w:t>
      </w:r>
    </w:p>
    <w:p w:rsidR="00A567FB" w:rsidRPr="001B2E24" w:rsidRDefault="00EB7C96"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Additional records were removed in </w:t>
      </w:r>
      <w:r w:rsidR="00B30DBB" w:rsidRPr="001B2E24">
        <w:rPr>
          <w:rFonts w:asciiTheme="majorBidi" w:hAnsiTheme="majorBidi" w:cstheme="majorBidi"/>
          <w:sz w:val="21"/>
          <w:szCs w:val="21"/>
        </w:rPr>
        <w:t>three</w:t>
      </w:r>
      <w:r w:rsidRPr="001B2E24">
        <w:rPr>
          <w:rFonts w:asciiTheme="majorBidi" w:hAnsiTheme="majorBidi" w:cstheme="majorBidi"/>
          <w:sz w:val="21"/>
          <w:szCs w:val="21"/>
        </w:rPr>
        <w:t xml:space="preserve"> stages</w:t>
      </w:r>
      <w:r w:rsidR="00B30DBB" w:rsidRPr="001B2E24">
        <w:rPr>
          <w:rFonts w:asciiTheme="majorBidi" w:hAnsiTheme="majorBidi" w:cstheme="majorBidi"/>
          <w:sz w:val="21"/>
          <w:szCs w:val="21"/>
        </w:rPr>
        <w:t>. I</w:t>
      </w:r>
      <w:r w:rsidRPr="001B2E24">
        <w:rPr>
          <w:rFonts w:asciiTheme="majorBidi" w:hAnsiTheme="majorBidi" w:cstheme="majorBidi"/>
          <w:sz w:val="21"/>
          <w:szCs w:val="21"/>
        </w:rPr>
        <w:t xml:space="preserve">n the first </w:t>
      </w:r>
      <w:r w:rsidR="003D6664" w:rsidRPr="001B2E24">
        <w:rPr>
          <w:rFonts w:asciiTheme="majorBidi" w:hAnsiTheme="majorBidi" w:cstheme="majorBidi"/>
          <w:sz w:val="21"/>
          <w:szCs w:val="21"/>
        </w:rPr>
        <w:t>stage,</w:t>
      </w:r>
      <w:r w:rsidRPr="001B2E24">
        <w:rPr>
          <w:rFonts w:asciiTheme="majorBidi" w:hAnsiTheme="majorBidi" w:cstheme="majorBidi"/>
          <w:sz w:val="21"/>
          <w:szCs w:val="21"/>
        </w:rPr>
        <w:t xml:space="preserve"> </w:t>
      </w:r>
      <w:r w:rsidR="00A567FB" w:rsidRPr="001B2E24">
        <w:rPr>
          <w:rFonts w:asciiTheme="majorBidi" w:hAnsiTheme="majorBidi" w:cstheme="majorBidi"/>
          <w:sz w:val="21"/>
          <w:szCs w:val="21"/>
        </w:rPr>
        <w:t xml:space="preserve">every company that had </w:t>
      </w:r>
      <w:r w:rsidRPr="001B2E24">
        <w:rPr>
          <w:rFonts w:asciiTheme="majorBidi" w:hAnsiTheme="majorBidi" w:cstheme="majorBidi"/>
          <w:sz w:val="21"/>
          <w:szCs w:val="21"/>
        </w:rPr>
        <w:t>more</w:t>
      </w:r>
      <w:r w:rsidR="009D4003" w:rsidRPr="001B2E24">
        <w:rPr>
          <w:rFonts w:asciiTheme="majorBidi" w:hAnsiTheme="majorBidi" w:cstheme="majorBidi"/>
          <w:sz w:val="21"/>
          <w:szCs w:val="21"/>
        </w:rPr>
        <w:t xml:space="preserve"> than </w:t>
      </w:r>
      <w:r w:rsidR="00A567FB" w:rsidRPr="001B2E24">
        <w:rPr>
          <w:rFonts w:asciiTheme="majorBidi" w:hAnsiTheme="majorBidi" w:cstheme="majorBidi"/>
          <w:sz w:val="21"/>
          <w:szCs w:val="21"/>
        </w:rPr>
        <w:t xml:space="preserve">35% of the variables missing </w:t>
      </w:r>
      <w:r w:rsidRPr="001B2E24">
        <w:rPr>
          <w:rFonts w:asciiTheme="majorBidi" w:hAnsiTheme="majorBidi" w:cstheme="majorBidi"/>
          <w:sz w:val="21"/>
          <w:szCs w:val="21"/>
        </w:rPr>
        <w:t xml:space="preserve">(20 variables) </w:t>
      </w:r>
      <w:r w:rsidR="00A567FB" w:rsidRPr="001B2E24">
        <w:rPr>
          <w:rFonts w:asciiTheme="majorBidi" w:hAnsiTheme="majorBidi" w:cstheme="majorBidi"/>
          <w:sz w:val="21"/>
          <w:szCs w:val="21"/>
        </w:rPr>
        <w:t>was removed</w:t>
      </w:r>
      <w:r w:rsidRPr="001B2E24">
        <w:rPr>
          <w:rFonts w:asciiTheme="majorBidi" w:hAnsiTheme="majorBidi" w:cstheme="majorBidi"/>
          <w:sz w:val="21"/>
          <w:szCs w:val="21"/>
        </w:rPr>
        <w:t>, this stage removed 9.44% of the records and left 54,787 records. In the second</w:t>
      </w:r>
      <w:r w:rsidR="00A567FB" w:rsidRPr="001B2E24">
        <w:rPr>
          <w:rFonts w:asciiTheme="majorBidi" w:hAnsiTheme="majorBidi" w:cstheme="majorBidi"/>
          <w:sz w:val="21"/>
          <w:szCs w:val="21"/>
        </w:rPr>
        <w:t xml:space="preserve"> elimination </w:t>
      </w:r>
      <w:r w:rsidRPr="001B2E24">
        <w:rPr>
          <w:rFonts w:asciiTheme="majorBidi" w:hAnsiTheme="majorBidi" w:cstheme="majorBidi"/>
          <w:sz w:val="21"/>
          <w:szCs w:val="21"/>
        </w:rPr>
        <w:t>stage,</w:t>
      </w:r>
      <w:r w:rsidR="00A567FB" w:rsidRPr="001B2E24">
        <w:rPr>
          <w:rFonts w:asciiTheme="majorBidi" w:hAnsiTheme="majorBidi" w:cstheme="majorBidi"/>
          <w:sz w:val="21"/>
          <w:szCs w:val="21"/>
        </w:rPr>
        <w:t xml:space="preserve"> every variable which had more than 15% missing data points was eliminated. This left </w:t>
      </w:r>
      <w:r w:rsidRPr="001B2E24">
        <w:rPr>
          <w:rFonts w:asciiTheme="majorBidi" w:hAnsiTheme="majorBidi" w:cstheme="majorBidi"/>
          <w:sz w:val="21"/>
          <w:szCs w:val="21"/>
        </w:rPr>
        <w:t>3</w:t>
      </w:r>
      <w:r w:rsidR="005C4EA0" w:rsidRPr="001B2E24">
        <w:rPr>
          <w:rFonts w:asciiTheme="majorBidi" w:hAnsiTheme="majorBidi" w:cstheme="majorBidi"/>
          <w:sz w:val="21"/>
          <w:szCs w:val="21"/>
        </w:rPr>
        <w:t>8</w:t>
      </w:r>
      <w:r w:rsidRPr="001B2E24">
        <w:rPr>
          <w:rFonts w:asciiTheme="majorBidi" w:hAnsiTheme="majorBidi" w:cstheme="majorBidi"/>
          <w:sz w:val="21"/>
          <w:szCs w:val="21"/>
        </w:rPr>
        <w:t xml:space="preserve"> explanatory </w:t>
      </w:r>
      <w:r w:rsidR="00A567FB" w:rsidRPr="001B2E24">
        <w:rPr>
          <w:rFonts w:asciiTheme="majorBidi" w:hAnsiTheme="majorBidi" w:cstheme="majorBidi"/>
          <w:sz w:val="21"/>
          <w:szCs w:val="21"/>
        </w:rPr>
        <w:t>variables for the entire sample</w:t>
      </w:r>
      <w:r w:rsidRPr="001B2E24">
        <w:rPr>
          <w:rFonts w:asciiTheme="majorBidi" w:hAnsiTheme="majorBidi" w:cstheme="majorBidi"/>
          <w:sz w:val="21"/>
          <w:szCs w:val="21"/>
        </w:rPr>
        <w:t xml:space="preserve">. </w:t>
      </w:r>
    </w:p>
    <w:p w:rsidR="005C4EA0" w:rsidRPr="001B2E24" w:rsidRDefault="005C4EA0"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Once these two stages were implemented </w:t>
      </w:r>
      <w:r w:rsidR="00B30DBB" w:rsidRPr="001B2E24">
        <w:rPr>
          <w:rFonts w:asciiTheme="majorBidi" w:hAnsiTheme="majorBidi" w:cstheme="majorBidi"/>
          <w:sz w:val="21"/>
          <w:szCs w:val="21"/>
        </w:rPr>
        <w:t xml:space="preserve">a third stage, the removal of </w:t>
      </w:r>
      <w:r w:rsidRPr="001B2E24">
        <w:rPr>
          <w:rFonts w:asciiTheme="majorBidi" w:hAnsiTheme="majorBidi" w:cstheme="majorBidi"/>
          <w:sz w:val="21"/>
          <w:szCs w:val="21"/>
        </w:rPr>
        <w:t xml:space="preserve">outliers </w:t>
      </w:r>
      <w:r w:rsidR="002F3949" w:rsidRPr="001B2E24">
        <w:rPr>
          <w:rFonts w:asciiTheme="majorBidi" w:hAnsiTheme="majorBidi" w:cstheme="majorBidi"/>
          <w:sz w:val="21"/>
          <w:szCs w:val="21"/>
        </w:rPr>
        <w:t xml:space="preserve">(for both variables and stock returns) </w:t>
      </w:r>
      <w:r w:rsidR="00E647B4" w:rsidRPr="001B2E24">
        <w:rPr>
          <w:rFonts w:asciiTheme="majorBidi" w:hAnsiTheme="majorBidi" w:cstheme="majorBidi"/>
          <w:sz w:val="21"/>
          <w:szCs w:val="21"/>
        </w:rPr>
        <w:t xml:space="preserve">was </w:t>
      </w:r>
      <w:r w:rsidR="00B30DBB" w:rsidRPr="001B2E24">
        <w:rPr>
          <w:rFonts w:asciiTheme="majorBidi" w:hAnsiTheme="majorBidi" w:cstheme="majorBidi"/>
          <w:sz w:val="21"/>
          <w:szCs w:val="21"/>
        </w:rPr>
        <w:t>implemented.</w:t>
      </w:r>
      <w:r w:rsidRPr="001B2E24">
        <w:rPr>
          <w:rFonts w:asciiTheme="majorBidi" w:hAnsiTheme="majorBidi" w:cstheme="majorBidi"/>
          <w:sz w:val="21"/>
          <w:szCs w:val="21"/>
        </w:rPr>
        <w:t xml:space="preserve"> </w:t>
      </w:r>
      <w:r w:rsidR="00B30DBB" w:rsidRPr="001B2E24">
        <w:rPr>
          <w:rFonts w:asciiTheme="majorBidi" w:hAnsiTheme="majorBidi" w:cstheme="majorBidi"/>
          <w:sz w:val="21"/>
          <w:szCs w:val="21"/>
        </w:rPr>
        <w:t>R</w:t>
      </w:r>
      <w:r w:rsidRPr="001B2E24">
        <w:rPr>
          <w:rFonts w:asciiTheme="majorBidi" w:hAnsiTheme="majorBidi" w:cstheme="majorBidi"/>
          <w:sz w:val="21"/>
          <w:szCs w:val="21"/>
        </w:rPr>
        <w:t xml:space="preserve">emoval of outliers is important because it can drastically </w:t>
      </w:r>
      <w:r w:rsidR="004E40B6" w:rsidRPr="001B2E24">
        <w:rPr>
          <w:rFonts w:asciiTheme="majorBidi" w:hAnsiTheme="majorBidi" w:cstheme="majorBidi"/>
          <w:sz w:val="21"/>
          <w:szCs w:val="21"/>
        </w:rPr>
        <w:t xml:space="preserve">bias/change the fit estimates and predictions. </w:t>
      </w:r>
      <w:r w:rsidR="003D6664" w:rsidRPr="001B2E24">
        <w:rPr>
          <w:rFonts w:asciiTheme="majorBidi" w:hAnsiTheme="majorBidi" w:cstheme="majorBidi"/>
          <w:sz w:val="21"/>
          <w:szCs w:val="21"/>
        </w:rPr>
        <w:t>To</w:t>
      </w:r>
      <w:r w:rsidR="004E40B6" w:rsidRPr="001B2E24">
        <w:rPr>
          <w:rFonts w:asciiTheme="majorBidi" w:hAnsiTheme="majorBidi" w:cstheme="majorBidi"/>
          <w:sz w:val="21"/>
          <w:szCs w:val="21"/>
        </w:rPr>
        <w:t xml:space="preserve"> identify the outliers</w:t>
      </w:r>
      <w:r w:rsidR="003D6664" w:rsidRPr="001B2E24">
        <w:rPr>
          <w:rFonts w:asciiTheme="majorBidi" w:hAnsiTheme="majorBidi" w:cstheme="majorBidi"/>
          <w:sz w:val="21"/>
          <w:szCs w:val="21"/>
        </w:rPr>
        <w:t>,</w:t>
      </w:r>
      <w:r w:rsidR="004E40B6" w:rsidRPr="001B2E24">
        <w:rPr>
          <w:rFonts w:asciiTheme="majorBidi" w:hAnsiTheme="majorBidi" w:cstheme="majorBidi"/>
          <w:sz w:val="21"/>
          <w:szCs w:val="21"/>
        </w:rPr>
        <w:t xml:space="preserve"> Interquartile range (IQR) method</w:t>
      </w:r>
      <w:r w:rsidR="003D6664" w:rsidRPr="001B2E24">
        <w:rPr>
          <w:rFonts w:asciiTheme="majorBidi" w:hAnsiTheme="majorBidi" w:cstheme="majorBidi"/>
          <w:sz w:val="21"/>
          <w:szCs w:val="21"/>
        </w:rPr>
        <w:t xml:space="preserve"> </w:t>
      </w:r>
      <w:r w:rsidR="003D6664" w:rsidRPr="001B2E24">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"10.1080/02664763.2010.545119", "ISSN" : "02664763", "abstract" : "A review of several statistical methods that are currently in use for outlier identification is presented, and their performances are compared theoretically for typical statistical distributions of experimental data, considering values derived from the distribution of extreme order statistics as reference terms. A simple modification of a popular, broadly used method based upon box-plot is introduced, in order to overcome a major limitation concerning sample size. Examples are presented concerning exploitation of methods considered on two data sets: a historical one concerning evaluation of an astronomical constant performed by a number of leading observatories and a substantial database pertaining to an ongoing investigation on absolute measurement of gravity acceleration, exhibiting peculiar aspects concerning outliers. Some problems related to outlier treatment are examined, and the requirement of both statistical analysis and expert opinion for proper outlier management is underlined. ABSTRACT FROM AUTHOR]; Copyright of Journal of Applied Statistics is the property of Routledge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"Barbato", "given" : "G", "non-dropping-particle" : "", "parse-names" : false, "suffix" : "" }, { "dropping-particle" : "", "family" : "Barini", "given" : "E M", "non-dropping-particle" : "", "parse-names" : false, "suffix" : "" }, { "dropping-particle" : "", "family" : "Genta", "given" : "G", "non-dropping-particle" : "", "parse-names" : false, "suffix" : "" }, { "dropping-particle" : "", "family" : "Levi", "given" : "R", "non-dropping-particle" : "", "parse-names" : false, "suffix" : "" } ], "container-title" : "Journal of Applied Statistics", "id" : "ITEM-1", "issue" : "10", "issued" : { "date-parts" : [ [ "2011" ] ] }, "page" : "2133-2149", "title" : "Features and performance of some outlier detection methods", "type" : "article-journal", "volume" : "38" }, "uris" : [ "http://www.mendeley.com/documents/?uuid=a2367bcc-9e31-4f9b-a4a5-b1121d047945" ] } ], "mendeley" : { "formattedCitation" : "(Barbato, Barini, Genta, &amp; Levi, 2011)", "plainTextFormattedCitation" : "(Barbato, Barini, Genta, &amp; Levi, 2011)", "previouslyFormattedCitation" : "(Barbato, Barini, Genta, &amp; Levi, 2011)" }, "properties" : {  }, "schema" : "https://github.com/citation-style-language/schema/raw/master/csl-citation.json" }</w:instrText>
      </w:r>
      <w:r w:rsidR="003D6664" w:rsidRPr="001B2E24">
        <w:rPr>
          <w:rFonts w:asciiTheme="majorBidi" w:hAnsiTheme="majorBidi" w:cstheme="majorBidi"/>
          <w:sz w:val="21"/>
          <w:szCs w:val="21"/>
        </w:rPr>
        <w:fldChar w:fldCharType="separate"/>
      </w:r>
      <w:r w:rsidR="003D6664" w:rsidRPr="001B2E24">
        <w:rPr>
          <w:rFonts w:asciiTheme="majorBidi" w:hAnsiTheme="majorBidi" w:cstheme="majorBidi"/>
          <w:noProof/>
          <w:sz w:val="21"/>
          <w:szCs w:val="21"/>
        </w:rPr>
        <w:t>(Barbato, Barini, Genta, &amp; Levi, 2011)</w:t>
      </w:r>
      <w:r w:rsidR="003D6664" w:rsidRPr="001B2E24">
        <w:rPr>
          <w:rFonts w:asciiTheme="majorBidi" w:hAnsiTheme="majorBidi" w:cstheme="majorBidi"/>
          <w:sz w:val="21"/>
          <w:szCs w:val="21"/>
        </w:rPr>
        <w:fldChar w:fldCharType="end"/>
      </w:r>
      <w:r w:rsidR="004E40B6" w:rsidRPr="001B2E24">
        <w:rPr>
          <w:rFonts w:asciiTheme="majorBidi" w:hAnsiTheme="majorBidi" w:cstheme="majorBidi"/>
          <w:sz w:val="21"/>
          <w:szCs w:val="21"/>
        </w:rPr>
        <w:t xml:space="preserve"> was used. </w:t>
      </w:r>
      <w:r w:rsidR="00B30DBB" w:rsidRPr="001B2E24">
        <w:rPr>
          <w:rFonts w:asciiTheme="majorBidi" w:hAnsiTheme="majorBidi" w:cstheme="majorBidi"/>
          <w:sz w:val="21"/>
          <w:szCs w:val="21"/>
        </w:rPr>
        <w:t>Based on</w:t>
      </w:r>
      <w:r w:rsidR="002F3949" w:rsidRPr="001B2E24">
        <w:rPr>
          <w:rFonts w:asciiTheme="majorBidi" w:hAnsiTheme="majorBidi" w:cstheme="majorBidi"/>
          <w:sz w:val="21"/>
          <w:szCs w:val="21"/>
        </w:rPr>
        <w:t xml:space="preserve"> this method the data is arranged </w:t>
      </w:r>
      <w:r w:rsidR="00B30DBB" w:rsidRPr="001B2E24">
        <w:rPr>
          <w:rFonts w:asciiTheme="majorBidi" w:hAnsiTheme="majorBidi" w:cstheme="majorBidi"/>
          <w:sz w:val="21"/>
          <w:szCs w:val="21"/>
        </w:rPr>
        <w:t>by value</w:t>
      </w:r>
      <w:r w:rsidR="002F3949" w:rsidRPr="001B2E24">
        <w:rPr>
          <w:rFonts w:asciiTheme="majorBidi" w:hAnsiTheme="majorBidi" w:cstheme="majorBidi"/>
          <w:sz w:val="21"/>
          <w:szCs w:val="21"/>
        </w:rPr>
        <w:t xml:space="preserve"> (from the lowest to the highest value) and is divided into four quartiles. The lowest quartile values (under 25%) is Q1 and the highest quartile (over 75%) is Q3, the interquartile range (IQR) is the range between Q1 and Q3, and therefore co</w:t>
      </w:r>
      <w:r w:rsidR="00B30DBB" w:rsidRPr="001B2E24">
        <w:rPr>
          <w:rFonts w:asciiTheme="majorBidi" w:hAnsiTheme="majorBidi" w:cstheme="majorBidi"/>
          <w:sz w:val="21"/>
          <w:szCs w:val="21"/>
        </w:rPr>
        <w:t>vers</w:t>
      </w:r>
      <w:r w:rsidR="002F3949" w:rsidRPr="001B2E24">
        <w:rPr>
          <w:rFonts w:asciiTheme="majorBidi" w:hAnsiTheme="majorBidi" w:cstheme="majorBidi"/>
          <w:sz w:val="21"/>
          <w:szCs w:val="21"/>
        </w:rPr>
        <w:t xml:space="preserve"> 50% of the data.</w:t>
      </w:r>
      <w:r w:rsidR="00DA3504" w:rsidRPr="001B2E24">
        <w:rPr>
          <w:rFonts w:asciiTheme="majorBidi" w:hAnsiTheme="majorBidi" w:cstheme="majorBidi"/>
          <w:sz w:val="21"/>
          <w:szCs w:val="21"/>
        </w:rPr>
        <w:t xml:space="preserve"> The lower limit is computed as Q1 – 1.5xIQR, and the upper limit is Q3 + 1.5xIQR, any data value beyond these limits was recognized as an outlier and eliminated.</w:t>
      </w:r>
      <w:r w:rsidR="00B30DBB" w:rsidRPr="001B2E24">
        <w:rPr>
          <w:rFonts w:asciiTheme="majorBidi" w:hAnsiTheme="majorBidi" w:cstheme="majorBidi"/>
          <w:sz w:val="21"/>
          <w:szCs w:val="21"/>
        </w:rPr>
        <w:t xml:space="preserve"> </w:t>
      </w:r>
    </w:p>
    <w:p w:rsidR="00B30DBB" w:rsidRPr="001B2E24" w:rsidRDefault="00DD49DF"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Once all discussed data was removed 36 variables (of the original 68 variables) remained (Appendix 1).</w:t>
      </w:r>
    </w:p>
    <w:p w:rsidR="00A567FB" w:rsidRPr="00254D61" w:rsidRDefault="00A567FB" w:rsidP="00420450">
      <w:pPr>
        <w:pStyle w:val="2"/>
      </w:pPr>
      <w:r w:rsidRPr="00254D61">
        <w:t xml:space="preserve">Method </w:t>
      </w:r>
    </w:p>
    <w:p w:rsidR="00A567FB" w:rsidRPr="001B2E24" w:rsidRDefault="00A567FB" w:rsidP="001B2E24">
      <w:pPr>
        <w:spacing w:after="0"/>
        <w:ind w:left="0" w:firstLineChars="200" w:firstLine="420"/>
        <w:rPr>
          <w:rFonts w:asciiTheme="majorBidi" w:hAnsiTheme="majorBidi" w:cstheme="majorBidi"/>
          <w:sz w:val="21"/>
          <w:szCs w:val="21"/>
        </w:rPr>
      </w:pPr>
      <w:proofErr w:type="gramStart"/>
      <w:r w:rsidRPr="001B2E24">
        <w:rPr>
          <w:rFonts w:asciiTheme="majorBidi" w:hAnsiTheme="majorBidi" w:cstheme="majorBidi"/>
          <w:sz w:val="21"/>
          <w:szCs w:val="21"/>
        </w:rPr>
        <w:t>Similar to</w:t>
      </w:r>
      <w:proofErr w:type="gramEnd"/>
      <w:r w:rsidRPr="001B2E24">
        <w:rPr>
          <w:rFonts w:asciiTheme="majorBidi" w:hAnsiTheme="majorBidi" w:cstheme="majorBidi"/>
          <w:sz w:val="21"/>
          <w:szCs w:val="21"/>
        </w:rPr>
        <w:t xml:space="preserve"> the </w:t>
      </w:r>
      <w:proofErr w:type="spellStart"/>
      <w:r w:rsidRPr="001B2E24">
        <w:rPr>
          <w:rFonts w:asciiTheme="majorBidi" w:hAnsiTheme="majorBidi" w:cstheme="majorBidi"/>
          <w:sz w:val="21"/>
          <w:szCs w:val="21"/>
        </w:rPr>
        <w:t>Ou</w:t>
      </w:r>
      <w:proofErr w:type="spellEnd"/>
      <w:r w:rsidRPr="001B2E24">
        <w:rPr>
          <w:rFonts w:asciiTheme="majorBidi" w:hAnsiTheme="majorBidi" w:cstheme="majorBidi"/>
          <w:sz w:val="21"/>
          <w:szCs w:val="21"/>
        </w:rPr>
        <w:t xml:space="preserve"> and Penman (1989) method, a two-step approach was used to develop the model.  In the first step a logistic regression univariate model was used to evaluate the significance of each explanatory variable.  Only variables which were found to be associated significantly (at a 10% level) with the direction of earnings per share, above the drift, were maintained (Appendix 1). The drift term was estimated as the mean earnings per share change over the four prior quarters to the estimated quarter (see </w:t>
      </w:r>
      <w:proofErr w:type="spellStart"/>
      <w:r w:rsidRPr="001B2E24">
        <w:rPr>
          <w:rFonts w:asciiTheme="majorBidi" w:hAnsiTheme="majorBidi" w:cstheme="majorBidi"/>
          <w:sz w:val="21"/>
          <w:szCs w:val="21"/>
        </w:rPr>
        <w:t>Ou</w:t>
      </w:r>
      <w:proofErr w:type="spellEnd"/>
      <w:r w:rsidRPr="001B2E24">
        <w:rPr>
          <w:rFonts w:asciiTheme="majorBidi" w:hAnsiTheme="majorBidi" w:cstheme="majorBidi"/>
          <w:sz w:val="21"/>
          <w:szCs w:val="21"/>
        </w:rPr>
        <w:t xml:space="preserve"> and Penman, 1989). </w:t>
      </w:r>
    </w:p>
    <w:p w:rsidR="00A567FB"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In the second step, a stepwise logistic regression model was used to determine the variables to be included in the final model.  A two-ways (backward and forward) process of adding and removing variables to minimize the Akaike Information Criterion (AIC) measure of goodness of fit was used and implemented with the R software version 3.2.2.  </w:t>
      </w:r>
      <w:r w:rsidR="003D6664" w:rsidRPr="001B2E24">
        <w:rPr>
          <w:rFonts w:asciiTheme="majorBidi" w:hAnsiTheme="majorBidi" w:cstheme="majorBidi"/>
          <w:sz w:val="21"/>
          <w:szCs w:val="21"/>
        </w:rPr>
        <w:t>T</w:t>
      </w:r>
      <w:r w:rsidRPr="001B2E24">
        <w:rPr>
          <w:rFonts w:asciiTheme="majorBidi" w:hAnsiTheme="majorBidi" w:cstheme="majorBidi"/>
          <w:sz w:val="21"/>
          <w:szCs w:val="21"/>
        </w:rPr>
        <w:t xml:space="preserve">he AIC measure </w:t>
      </w:r>
      <w:r w:rsidR="003D6664" w:rsidRPr="001B2E24">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"abstract" : "The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\u201csavvy\u201d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 "author" : [ { "dropping-particle" : "", "family" : "Burnham", "given" : "K P", "non-dropping-particle" : "", "parse-names" : false, "suffix" : "" }, { "dropping-particle" : "", "family" : "Anderson", "given" : "D R", "non-dropping-particle" : "", "parse-names" : false, "suffix" : "" } ], "container-title" : "SOCIOLOGICAL METHODS &amp; RESEARCH", "id" : "ITEM-1", "issue" : "2", "issued" : { "date-parts" : [ [ "2004" ] ] }, "page" : "261-304", "title" : "Multimodel Inference\\rUnderstanding AIC and BIC in Model Selection", "type" : "article-journal", "volume" : "33" }, "uris" : [ "http://www.mendeley.com/documents/?uuid=cfd0eae5-b24f-4121-a192-d88ae54c422b" ] } ], "mendeley" : { "formattedCitation" : "(Burnham &amp; Anderson, 2004)", "plainTextFormattedCitation" : "(Burnham &amp; Anderson, 2004)", "previouslyFormattedCitation" : "(Burnham &amp; Anderson, 2004)" }, "properties" : {  }, "schema" : "https://github.com/citation-style-language/schema/raw/master/csl-citation.json" }</w:instrText>
      </w:r>
      <w:r w:rsidR="003D6664" w:rsidRPr="001B2E24">
        <w:rPr>
          <w:rFonts w:asciiTheme="majorBidi" w:hAnsiTheme="majorBidi" w:cstheme="majorBidi"/>
          <w:sz w:val="21"/>
          <w:szCs w:val="21"/>
        </w:rPr>
        <w:fldChar w:fldCharType="separate"/>
      </w:r>
      <w:r w:rsidR="003D6664" w:rsidRPr="001B2E24">
        <w:rPr>
          <w:rFonts w:asciiTheme="majorBidi" w:hAnsiTheme="majorBidi" w:cstheme="majorBidi"/>
          <w:noProof/>
          <w:sz w:val="21"/>
          <w:szCs w:val="21"/>
        </w:rPr>
        <w:t>(Burnham &amp; Anderson, 2004)</w:t>
      </w:r>
      <w:r w:rsidR="003D6664" w:rsidRPr="001B2E24">
        <w:rPr>
          <w:rFonts w:asciiTheme="majorBidi" w:hAnsiTheme="majorBidi" w:cstheme="majorBidi"/>
          <w:sz w:val="21"/>
          <w:szCs w:val="21"/>
        </w:rPr>
        <w:fldChar w:fldCharType="end"/>
      </w:r>
      <w:r w:rsidR="003D6664" w:rsidRPr="001B2E24">
        <w:rPr>
          <w:rFonts w:asciiTheme="majorBidi" w:hAnsiTheme="majorBidi" w:cstheme="majorBidi"/>
          <w:sz w:val="21"/>
          <w:szCs w:val="21"/>
        </w:rPr>
        <w:t xml:space="preserve"> </w:t>
      </w:r>
      <w:r w:rsidRPr="001B2E24">
        <w:rPr>
          <w:rFonts w:asciiTheme="majorBidi" w:hAnsiTheme="majorBidi" w:cstheme="majorBidi"/>
          <w:sz w:val="21"/>
          <w:szCs w:val="21"/>
        </w:rPr>
        <w:t>has several advantages over the Bayesian Information Criterion (BIC).  The first part of the process (backwards) involved a cycle of including all the remaining variables in a single regression, and then progressively removing those that did not prove significant based on the AIC measure of goodness. The same process was repeated (forward) by starting with one variable, measuring the AIC and then adding another variable. A variable was considered insignificant if the total AIC score of the model increased by adding another variable.</w:t>
      </w:r>
    </w:p>
    <w:p w:rsidR="00A567FB"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A different model was developed for each of the quarters for which a forecast was made, using quarterly data from the previous three years of observations – for example, the forecast period for Q3, 2015, is Q2, 2013 to Q2, 2015.  This approach deviates from the method used by </w:t>
      </w:r>
      <w:proofErr w:type="spellStart"/>
      <w:r w:rsidRPr="001B2E24">
        <w:rPr>
          <w:rFonts w:asciiTheme="majorBidi" w:hAnsiTheme="majorBidi" w:cstheme="majorBidi"/>
          <w:sz w:val="21"/>
          <w:szCs w:val="21"/>
        </w:rPr>
        <w:t>Ou</w:t>
      </w:r>
      <w:proofErr w:type="spellEnd"/>
      <w:r w:rsidRPr="001B2E24">
        <w:rPr>
          <w:rFonts w:asciiTheme="majorBidi" w:hAnsiTheme="majorBidi" w:cstheme="majorBidi"/>
          <w:sz w:val="21"/>
          <w:szCs w:val="21"/>
        </w:rPr>
        <w:t xml:space="preserve"> and Penman (1989), who used the same model to arrive at a probability of the directional movement in EPS for all subsequent periods. The method adopted developed a different model for each of the periods the forecasts were made</w:t>
      </w:r>
      <w:r w:rsidR="003D6664" w:rsidRPr="001B2E24">
        <w:rPr>
          <w:rFonts w:asciiTheme="majorBidi" w:hAnsiTheme="majorBidi" w:cstheme="majorBidi"/>
          <w:sz w:val="21"/>
          <w:szCs w:val="21"/>
        </w:rPr>
        <w:t xml:space="preserve"> </w:t>
      </w:r>
      <w:r w:rsidR="003D6664" w:rsidRPr="001B2E24">
        <w:rPr>
          <w:rFonts w:asciiTheme="majorBidi" w:hAnsiTheme="majorBidi" w:cstheme="majorBidi"/>
          <w:sz w:val="21"/>
          <w:szCs w:val="21"/>
        </w:rPr>
        <w:fldChar w:fldCharType="begin" w:fldLock="1"/>
      </w:r>
      <w:r w:rsidR="003319F8">
        <w:rPr>
          <w:rFonts w:asciiTheme="majorBidi" w:hAnsiTheme="majorBidi" w:cstheme="majorBidi"/>
          <w:sz w:val="21"/>
          <w:szCs w:val="21"/>
        </w:rPr>
        <w:instrText>ADDIN CSL_CITATION { "citationItems" : [ { "id" : "ITEM-1", "itemData" : { "DOI" : "10.1057/palgrave.jam.2240044", "ISBN" : "14708272", "ISSN" : "1470-8272", "PMID" : "194561092", "abstract" : "The greater interest apparent in the recent academic literature in the impact of corporate earnings information on the valuation of shares has prompted an updating of the seminal work of Ou and Penman (1989) on the role that accounting information can play in predicting future movements in earnings relative to expectations. The Ou and Penman analysis has also been extended by considering two measures of expectations; by covering a more recent time period; by encompassing the UK and Australian markets in addition to the US market; and by applying a new methodology for developing the forecasting models. The study found that a model based on accounting information retains merit as a means of forecasting movements in trend-adjusted earnings, but that these forecasts no longer provide the basis for a profitable investment strategy. The models used to forecast earnings surprise gave mixed results, but nonetheless, some of the resulting investment strategies were consistently profitable.", "author" : [ { "dropping-particle" : "", "family" : "Bird", "given" : "Ron", "non-dropping-particle" : "", "parse-names" : false, "suffix" : "" }, { "dropping-particle" : "", "family" : "Gerlach", "given" : "Richard", "non-dropping-particle" : "", "parse-names" : false, "suffix" : "" }, { "dropping-particle" : "", "family" : "Hall", "given" : "A.D.", "non-dropping-particle" : "", "parse-names" : false, "suffix" : "" } ], "container-title" : "Journal of Asset Management", "id" : "ITEM-1", "issue" : "2", "issued" : { "date-parts" : [ [ "2001" ] ] }, "page" : "180-195", "title" : "'The prediction of earnings movements using accounting data: An update and extension of Ou and Penman' -- a response", "type" : "article-journal", "volume" : "2" }, "uris" : [ "http://www.mendeley.com/documents/?uuid=8277b378-9592-43af-b906-491c5377ef29" ] } ], "mendeley" : { "formattedCitation" : "(Bird et al., 2001)", "plainTextFormattedCitation" : "(Bird et al., 2001)", "previouslyFormattedCitation" : "(Bird et al., 2001)" }, "properties" : {  }, "schema" : "https://github.com/citation-style-language/schema/raw/master/csl-citation.json" }</w:instrText>
      </w:r>
      <w:r w:rsidR="003D6664" w:rsidRPr="001B2E24">
        <w:rPr>
          <w:rFonts w:asciiTheme="majorBidi" w:hAnsiTheme="majorBidi" w:cstheme="majorBidi"/>
          <w:sz w:val="21"/>
          <w:szCs w:val="21"/>
        </w:rPr>
        <w:fldChar w:fldCharType="separate"/>
      </w:r>
      <w:r w:rsidR="003319F8" w:rsidRPr="003319F8">
        <w:rPr>
          <w:rFonts w:asciiTheme="majorBidi" w:hAnsiTheme="majorBidi" w:cstheme="majorBidi"/>
          <w:noProof/>
          <w:sz w:val="21"/>
          <w:szCs w:val="21"/>
        </w:rPr>
        <w:t>(Bird et al., 2001)</w:t>
      </w:r>
      <w:r w:rsidR="003D6664" w:rsidRPr="001B2E24">
        <w:rPr>
          <w:rFonts w:asciiTheme="majorBidi" w:hAnsiTheme="majorBidi" w:cstheme="majorBidi"/>
          <w:sz w:val="21"/>
          <w:szCs w:val="21"/>
        </w:rPr>
        <w:fldChar w:fldCharType="end"/>
      </w:r>
      <w:r w:rsidRPr="001B2E24">
        <w:rPr>
          <w:rFonts w:asciiTheme="majorBidi" w:hAnsiTheme="majorBidi" w:cstheme="majorBidi"/>
          <w:sz w:val="21"/>
          <w:szCs w:val="21"/>
        </w:rPr>
        <w:t xml:space="preserve">. </w:t>
      </w:r>
    </w:p>
    <w:p w:rsidR="00A567FB"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The logistic models, were then used to provide a forecast of the probability that the company's EPS for the next quarter will be above its current EPS. Based on these probabilities the stock can be classified. A company stock is assigned to a 'long' position (EPS are expected to increase) if the probability is greater than 0.6, and to a 'short' position (EPS are expected to decrease) if the probability is less 0.4.</w:t>
      </w:r>
    </w:p>
    <w:p w:rsidR="00B17924" w:rsidRPr="00254D61" w:rsidRDefault="00B17924" w:rsidP="00530BF5">
      <w:pPr>
        <w:rPr>
          <w:rFonts w:asciiTheme="majorBidi" w:hAnsiTheme="majorBidi" w:cstheme="majorBidi"/>
          <w:sz w:val="24"/>
          <w:szCs w:val="24"/>
        </w:rPr>
      </w:pPr>
    </w:p>
    <w:p w:rsidR="00A567FB" w:rsidRPr="00254D61" w:rsidRDefault="00236799" w:rsidP="00420450">
      <w:pPr>
        <w:pStyle w:val="1"/>
      </w:pPr>
      <w:r w:rsidRPr="00254D61">
        <w:t>THE MODELS</w:t>
      </w:r>
    </w:p>
    <w:p w:rsidR="00B17924"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In the first run all </w:t>
      </w:r>
      <w:r w:rsidR="00236799" w:rsidRPr="001B2E24">
        <w:rPr>
          <w:rFonts w:asciiTheme="majorBidi" w:hAnsiTheme="majorBidi" w:cstheme="majorBidi"/>
          <w:sz w:val="21"/>
          <w:szCs w:val="21"/>
        </w:rPr>
        <w:t>36</w:t>
      </w:r>
      <w:r w:rsidRPr="001B2E24">
        <w:rPr>
          <w:rFonts w:asciiTheme="majorBidi" w:hAnsiTheme="majorBidi" w:cstheme="majorBidi"/>
          <w:sz w:val="21"/>
          <w:szCs w:val="21"/>
        </w:rPr>
        <w:t xml:space="preserve"> variables were used (see appendix 1), a list of the variables found significant in each model is presented in Table 2.</w:t>
      </w:r>
    </w:p>
    <w:p w:rsidR="00A567FB" w:rsidRPr="00254D61" w:rsidRDefault="00A567FB" w:rsidP="00530BF5">
      <w:pPr>
        <w:rPr>
          <w:rFonts w:asciiTheme="majorBidi" w:hAnsiTheme="majorBidi" w:cstheme="majorBidi"/>
          <w:sz w:val="24"/>
          <w:szCs w:val="24"/>
        </w:rPr>
      </w:pPr>
      <w:r w:rsidRPr="00254D61">
        <w:rPr>
          <w:rFonts w:asciiTheme="majorBidi" w:hAnsiTheme="majorBidi" w:cstheme="majorBidi"/>
          <w:sz w:val="24"/>
          <w:szCs w:val="24"/>
        </w:rPr>
        <w:t xml:space="preserve"> </w:t>
      </w:r>
    </w:p>
    <w:p w:rsidR="00A567FB" w:rsidRPr="00254D61" w:rsidRDefault="00A567FB" w:rsidP="00530BF5">
      <w:pPr>
        <w:jc w:val="center"/>
        <w:rPr>
          <w:rFonts w:asciiTheme="majorBidi" w:hAnsiTheme="majorBidi" w:cstheme="majorBidi"/>
          <w:b/>
          <w:bCs/>
          <w:sz w:val="20"/>
          <w:szCs w:val="20"/>
        </w:rPr>
      </w:pPr>
      <w:r w:rsidRPr="00254D61">
        <w:rPr>
          <w:rFonts w:asciiTheme="majorBidi" w:hAnsiTheme="majorBidi" w:cstheme="majorBidi"/>
          <w:b/>
          <w:bCs/>
          <w:sz w:val="20"/>
          <w:szCs w:val="20"/>
          <w:u w:val="single"/>
        </w:rPr>
        <w:t>Table 2</w:t>
      </w:r>
      <w:r w:rsidRPr="00254D61">
        <w:rPr>
          <w:rFonts w:asciiTheme="majorBidi" w:hAnsiTheme="majorBidi" w:cstheme="majorBidi"/>
          <w:b/>
          <w:bCs/>
          <w:sz w:val="20"/>
          <w:szCs w:val="20"/>
        </w:rPr>
        <w:t xml:space="preserve">: Results of the </w:t>
      </w:r>
      <w:r w:rsidR="00B17924" w:rsidRPr="00254D61">
        <w:rPr>
          <w:rFonts w:asciiTheme="majorBidi" w:hAnsiTheme="majorBidi" w:cstheme="majorBidi"/>
          <w:b/>
          <w:bCs/>
          <w:sz w:val="20"/>
          <w:szCs w:val="20"/>
        </w:rPr>
        <w:t>L</w:t>
      </w:r>
      <w:r w:rsidRPr="00254D61">
        <w:rPr>
          <w:rFonts w:asciiTheme="majorBidi" w:hAnsiTheme="majorBidi" w:cstheme="majorBidi"/>
          <w:b/>
          <w:bCs/>
          <w:sz w:val="20"/>
          <w:szCs w:val="20"/>
        </w:rPr>
        <w:t xml:space="preserve">ogistic </w:t>
      </w:r>
      <w:r w:rsidR="00B17924" w:rsidRPr="00254D61">
        <w:rPr>
          <w:rFonts w:asciiTheme="majorBidi" w:hAnsiTheme="majorBidi" w:cstheme="majorBidi"/>
          <w:b/>
          <w:bCs/>
          <w:sz w:val="20"/>
          <w:szCs w:val="20"/>
        </w:rPr>
        <w:t>R</w:t>
      </w:r>
      <w:r w:rsidRPr="00254D61">
        <w:rPr>
          <w:rFonts w:asciiTheme="majorBidi" w:hAnsiTheme="majorBidi" w:cstheme="majorBidi"/>
          <w:b/>
          <w:bCs/>
          <w:sz w:val="20"/>
          <w:szCs w:val="20"/>
        </w:rPr>
        <w:t xml:space="preserve">egressions for </w:t>
      </w:r>
      <w:r w:rsidR="00B17924" w:rsidRPr="00254D61">
        <w:rPr>
          <w:rFonts w:asciiTheme="majorBidi" w:hAnsiTheme="majorBidi" w:cstheme="majorBidi"/>
          <w:b/>
          <w:bCs/>
          <w:sz w:val="20"/>
          <w:szCs w:val="20"/>
        </w:rPr>
        <w:t>P</w:t>
      </w:r>
      <w:r w:rsidRPr="00254D61">
        <w:rPr>
          <w:rFonts w:asciiTheme="majorBidi" w:hAnsiTheme="majorBidi" w:cstheme="majorBidi"/>
          <w:b/>
          <w:bCs/>
          <w:sz w:val="20"/>
          <w:szCs w:val="20"/>
        </w:rPr>
        <w:t>redicting Q</w:t>
      </w:r>
      <w:r w:rsidR="008268FF" w:rsidRPr="00254D61">
        <w:rPr>
          <w:rFonts w:asciiTheme="majorBidi" w:hAnsiTheme="majorBidi" w:cstheme="majorBidi"/>
          <w:b/>
          <w:bCs/>
          <w:sz w:val="20"/>
          <w:szCs w:val="20"/>
        </w:rPr>
        <w:t xml:space="preserve">3 </w:t>
      </w:r>
      <w:r w:rsidRPr="00254D61">
        <w:rPr>
          <w:rFonts w:asciiTheme="majorBidi" w:hAnsiTheme="majorBidi" w:cstheme="majorBidi"/>
          <w:b/>
          <w:bCs/>
          <w:sz w:val="20"/>
          <w:szCs w:val="20"/>
        </w:rPr>
        <w:t>2015 through Q</w:t>
      </w:r>
      <w:r w:rsidR="008268FF" w:rsidRPr="00254D61">
        <w:rPr>
          <w:rFonts w:asciiTheme="majorBidi" w:hAnsiTheme="majorBidi" w:cstheme="majorBidi"/>
          <w:b/>
          <w:bCs/>
          <w:sz w:val="20"/>
          <w:szCs w:val="20"/>
        </w:rPr>
        <w:t>2</w:t>
      </w:r>
      <w:r w:rsidRPr="00254D61">
        <w:rPr>
          <w:rFonts w:asciiTheme="majorBidi" w:hAnsiTheme="majorBidi" w:cstheme="majorBidi"/>
          <w:b/>
          <w:bCs/>
          <w:sz w:val="20"/>
          <w:szCs w:val="20"/>
        </w:rPr>
        <w:t xml:space="preserve"> 2016</w:t>
      </w:r>
    </w:p>
    <w:tbl>
      <w:tblPr>
        <w:tblW w:w="5000" w:type="pct"/>
        <w:tblLook w:val="04A0" w:firstRow="1" w:lastRow="0" w:firstColumn="1" w:lastColumn="0" w:noHBand="0" w:noVBand="1"/>
      </w:tblPr>
      <w:tblGrid>
        <w:gridCol w:w="4137"/>
        <w:gridCol w:w="1363"/>
        <w:gridCol w:w="1344"/>
        <w:gridCol w:w="1344"/>
        <w:gridCol w:w="1548"/>
      </w:tblGrid>
      <w:tr w:rsidR="00A567FB" w:rsidRPr="00254D61" w:rsidTr="00185AE4">
        <w:trPr>
          <w:trHeight w:val="20"/>
        </w:trPr>
        <w:tc>
          <w:tcPr>
            <w:tcW w:w="2125" w:type="pct"/>
            <w:tcBorders>
              <w:top w:val="single" w:sz="4" w:space="0" w:color="auto"/>
              <w:left w:val="single" w:sz="4" w:space="0" w:color="auto"/>
              <w:bottom w:val="single" w:sz="4" w:space="0" w:color="auto"/>
            </w:tcBorders>
            <w:shd w:val="clear" w:color="auto" w:fill="auto"/>
            <w:noWrap/>
            <w:vAlign w:val="center"/>
            <w:hideMark/>
          </w:tcPr>
          <w:p w:rsidR="00A567FB" w:rsidRPr="001B2E24" w:rsidRDefault="00A567FB" w:rsidP="00185AE4">
            <w:pPr>
              <w:spacing w:after="0" w:line="240" w:lineRule="auto"/>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Variables</w:t>
            </w:r>
          </w:p>
        </w:tc>
        <w:tc>
          <w:tcPr>
            <w:tcW w:w="700" w:type="pct"/>
            <w:tcBorders>
              <w:top w:val="single" w:sz="4" w:space="0" w:color="auto"/>
              <w:bottom w:val="single" w:sz="4" w:space="0" w:color="auto"/>
            </w:tcBorders>
            <w:shd w:val="clear" w:color="auto" w:fill="auto"/>
            <w:noWrap/>
            <w:vAlign w:val="center"/>
            <w:hideMark/>
          </w:tcPr>
          <w:p w:rsidR="00A567FB" w:rsidRPr="001B2E24" w:rsidRDefault="00A567FB" w:rsidP="00185AE4">
            <w:pPr>
              <w:spacing w:after="0" w:line="240" w:lineRule="auto"/>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Q3/2015</w:t>
            </w:r>
          </w:p>
        </w:tc>
        <w:tc>
          <w:tcPr>
            <w:tcW w:w="690" w:type="pct"/>
            <w:tcBorders>
              <w:top w:val="single" w:sz="4" w:space="0" w:color="auto"/>
              <w:bottom w:val="single" w:sz="4" w:space="0" w:color="auto"/>
            </w:tcBorders>
            <w:shd w:val="clear" w:color="auto" w:fill="auto"/>
            <w:noWrap/>
            <w:vAlign w:val="center"/>
            <w:hideMark/>
          </w:tcPr>
          <w:p w:rsidR="00A567FB" w:rsidRPr="001B2E24" w:rsidRDefault="00A567FB" w:rsidP="00185AE4">
            <w:pPr>
              <w:spacing w:after="0" w:line="240" w:lineRule="auto"/>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Q4/2015</w:t>
            </w:r>
          </w:p>
        </w:tc>
        <w:tc>
          <w:tcPr>
            <w:tcW w:w="690" w:type="pct"/>
            <w:tcBorders>
              <w:top w:val="single" w:sz="4" w:space="0" w:color="auto"/>
              <w:bottom w:val="single" w:sz="4" w:space="0" w:color="auto"/>
            </w:tcBorders>
            <w:shd w:val="clear" w:color="auto" w:fill="auto"/>
            <w:noWrap/>
            <w:vAlign w:val="center"/>
            <w:hideMark/>
          </w:tcPr>
          <w:p w:rsidR="00A567FB" w:rsidRPr="001B2E24" w:rsidRDefault="00A567FB" w:rsidP="00185AE4">
            <w:pPr>
              <w:spacing w:after="0" w:line="240" w:lineRule="auto"/>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Q1/2016</w:t>
            </w:r>
          </w:p>
        </w:tc>
        <w:tc>
          <w:tcPr>
            <w:tcW w:w="796" w:type="pct"/>
            <w:tcBorders>
              <w:top w:val="single" w:sz="4" w:space="0" w:color="auto"/>
              <w:bottom w:val="single" w:sz="4" w:space="0" w:color="auto"/>
              <w:right w:val="single" w:sz="4" w:space="0" w:color="auto"/>
            </w:tcBorders>
            <w:shd w:val="clear" w:color="auto" w:fill="auto"/>
            <w:noWrap/>
            <w:vAlign w:val="center"/>
            <w:hideMark/>
          </w:tcPr>
          <w:p w:rsidR="00A567FB" w:rsidRPr="001B2E24" w:rsidRDefault="00A567FB" w:rsidP="00185AE4">
            <w:pPr>
              <w:spacing w:after="0" w:line="240" w:lineRule="auto"/>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Q2/2016</w:t>
            </w:r>
          </w:p>
        </w:tc>
      </w:tr>
      <w:tr w:rsidR="001E4EB8" w:rsidRPr="00254D61" w:rsidTr="00185AE4">
        <w:trPr>
          <w:trHeight w:val="227"/>
        </w:trPr>
        <w:tc>
          <w:tcPr>
            <w:tcW w:w="2125" w:type="pct"/>
            <w:tcBorders>
              <w:top w:val="single" w:sz="4" w:space="0" w:color="auto"/>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Net</w:t>
            </w:r>
            <w:proofErr w:type="gramEnd"/>
            <w:r w:rsidRPr="001B2E24">
              <w:rPr>
                <w:rFonts w:asciiTheme="majorBidi" w:hAnsiTheme="majorBidi" w:cstheme="majorBidi"/>
                <w:color w:val="000000"/>
                <w:sz w:val="21"/>
                <w:szCs w:val="21"/>
              </w:rPr>
              <w:t xml:space="preserve"> Profit Margin</w:t>
            </w:r>
          </w:p>
        </w:tc>
        <w:tc>
          <w:tcPr>
            <w:tcW w:w="700" w:type="pct"/>
            <w:tcBorders>
              <w:top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-0.5920</w:t>
            </w:r>
          </w:p>
        </w:tc>
        <w:tc>
          <w:tcPr>
            <w:tcW w:w="690" w:type="pct"/>
            <w:tcBorders>
              <w:top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-0.5030</w:t>
            </w:r>
          </w:p>
        </w:tc>
        <w:tc>
          <w:tcPr>
            <w:tcW w:w="690" w:type="pct"/>
            <w:tcBorders>
              <w:top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-0.5220</w:t>
            </w:r>
          </w:p>
        </w:tc>
        <w:tc>
          <w:tcPr>
            <w:tcW w:w="796" w:type="pct"/>
            <w:tcBorders>
              <w:top w:val="single" w:sz="4" w:space="0" w:color="auto"/>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-0.5232</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ROA</w:t>
            </w:r>
          </w:p>
        </w:tc>
        <w:tc>
          <w:tcPr>
            <w:tcW w:w="70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-37.2309</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-20.2390</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-20.3294</w:t>
            </w: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-35.4367</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Days</w:t>
            </w:r>
            <w:proofErr w:type="gramEnd"/>
            <w:r w:rsidRPr="001B2E24">
              <w:rPr>
                <w:rFonts w:asciiTheme="majorBidi" w:hAnsiTheme="majorBidi" w:cstheme="majorBidi"/>
                <w:color w:val="000000"/>
                <w:sz w:val="21"/>
                <w:szCs w:val="21"/>
              </w:rPr>
              <w:t xml:space="preserve"> sales to Accounts </w:t>
            </w:r>
            <w:proofErr w:type="spellStart"/>
            <w:r w:rsidRPr="001B2E24">
              <w:rPr>
                <w:rFonts w:asciiTheme="majorBidi" w:hAnsiTheme="majorBidi" w:cstheme="majorBidi"/>
                <w:color w:val="000000"/>
                <w:sz w:val="21"/>
                <w:szCs w:val="21"/>
              </w:rPr>
              <w:t>Recv</w:t>
            </w:r>
            <w:proofErr w:type="spellEnd"/>
            <w:r w:rsidRPr="001B2E24">
              <w:rPr>
                <w:rFonts w:asciiTheme="majorBidi" w:hAnsiTheme="majorBidi" w:cstheme="majorBidi"/>
                <w:color w:val="000000"/>
                <w:sz w:val="21"/>
                <w:szCs w:val="21"/>
              </w:rPr>
              <w:t>.</w:t>
            </w:r>
          </w:p>
        </w:tc>
        <w:tc>
          <w:tcPr>
            <w:tcW w:w="70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1.2420</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1.4173</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1.3564</w:t>
            </w: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1.2439</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Quick</w:t>
            </w:r>
            <w:proofErr w:type="gramEnd"/>
            <w:r w:rsidRPr="001B2E24">
              <w:rPr>
                <w:rFonts w:asciiTheme="majorBidi" w:hAnsiTheme="majorBidi" w:cstheme="majorBidi"/>
                <w:color w:val="000000"/>
                <w:sz w:val="21"/>
                <w:szCs w:val="21"/>
              </w:rPr>
              <w:t xml:space="preserve"> Ratio</w:t>
            </w:r>
          </w:p>
        </w:tc>
        <w:tc>
          <w:tcPr>
            <w:tcW w:w="70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-0.5556</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-0.4951</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-0.6006</w:t>
            </w: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-0.6457</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Operating Income to Total Assets</w:t>
            </w:r>
          </w:p>
        </w:tc>
        <w:tc>
          <w:tcPr>
            <w:tcW w:w="70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14.1379</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10.7761</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10.4624</w:t>
            </w: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13.8259</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Equity</w:t>
            </w:r>
            <w:proofErr w:type="gramEnd"/>
            <w:r w:rsidRPr="001B2E24">
              <w:rPr>
                <w:rFonts w:asciiTheme="majorBidi" w:hAnsiTheme="majorBidi" w:cstheme="majorBidi"/>
                <w:color w:val="000000"/>
                <w:sz w:val="21"/>
                <w:szCs w:val="21"/>
              </w:rPr>
              <w:t xml:space="preserve"> to Fixed Assets</w:t>
            </w:r>
          </w:p>
        </w:tc>
        <w:tc>
          <w:tcPr>
            <w:tcW w:w="70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-1.7640</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-1.5512</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-1.3140</w:t>
            </w: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-1.7376</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Capital</w:t>
            </w:r>
            <w:proofErr w:type="gramEnd"/>
            <w:r w:rsidRPr="001B2E24">
              <w:rPr>
                <w:rFonts w:asciiTheme="majorBidi" w:hAnsiTheme="majorBidi" w:cstheme="majorBidi"/>
                <w:color w:val="000000"/>
                <w:sz w:val="21"/>
                <w:szCs w:val="21"/>
              </w:rPr>
              <w:t xml:space="preserve"> Expenditures to Total Assets</w:t>
            </w:r>
          </w:p>
        </w:tc>
        <w:tc>
          <w:tcPr>
            <w:tcW w:w="70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0.0719</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0.0455</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Total</w:t>
            </w:r>
            <w:proofErr w:type="gramEnd"/>
            <w:r w:rsidRPr="001B2E24">
              <w:rPr>
                <w:rFonts w:asciiTheme="majorBidi" w:hAnsiTheme="majorBidi" w:cstheme="majorBidi"/>
                <w:color w:val="000000"/>
                <w:sz w:val="21"/>
                <w:szCs w:val="21"/>
              </w:rPr>
              <w:t xml:space="preserve"> Revenue</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-0.7836</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-0.7640</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Sales to Total Assets</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-0.7746</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-0.2316</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Sales to Fixed Assets</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0.0687</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0.0226</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Working Capital to Total Assets</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0.3499</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0.2717</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 xml:space="preserve">Sales to Total Accounts </w:t>
            </w:r>
            <w:proofErr w:type="spellStart"/>
            <w:r w:rsidRPr="001B2E24">
              <w:rPr>
                <w:rFonts w:asciiTheme="majorBidi" w:hAnsiTheme="majorBidi" w:cstheme="majorBidi"/>
                <w:color w:val="000000"/>
                <w:sz w:val="21"/>
                <w:szCs w:val="21"/>
              </w:rPr>
              <w:t>Recv</w:t>
            </w:r>
            <w:proofErr w:type="spellEnd"/>
            <w:r w:rsidRPr="001B2E24">
              <w:rPr>
                <w:rFonts w:asciiTheme="majorBidi" w:hAnsiTheme="majorBidi" w:cstheme="majorBidi"/>
                <w:color w:val="000000"/>
                <w:sz w:val="21"/>
                <w:szCs w:val="21"/>
              </w:rPr>
              <w:t>.</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-0.0072</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-0.0125</w:t>
            </w: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Sales</w:t>
            </w:r>
            <w:proofErr w:type="gramEnd"/>
            <w:r w:rsidRPr="001B2E24">
              <w:rPr>
                <w:rFonts w:asciiTheme="majorBidi" w:hAnsiTheme="majorBidi" w:cstheme="majorBidi"/>
                <w:color w:val="000000"/>
                <w:sz w:val="21"/>
                <w:szCs w:val="21"/>
              </w:rPr>
              <w:t xml:space="preserve"> to Total Assets</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-0.7362</w:t>
            </w: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-0.8982</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Working</w:t>
            </w:r>
            <w:proofErr w:type="gramEnd"/>
            <w:r w:rsidRPr="001B2E24">
              <w:rPr>
                <w:rFonts w:asciiTheme="majorBidi" w:hAnsiTheme="majorBidi" w:cstheme="majorBidi"/>
                <w:color w:val="000000"/>
                <w:sz w:val="21"/>
                <w:szCs w:val="21"/>
              </w:rPr>
              <w:t xml:space="preserve"> Capital</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0.2434</w:t>
            </w: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0.2114</w:t>
            </w: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Capital</w:t>
            </w:r>
            <w:proofErr w:type="gramEnd"/>
            <w:r w:rsidRPr="001B2E24">
              <w:rPr>
                <w:rFonts w:asciiTheme="majorBidi" w:hAnsiTheme="majorBidi" w:cstheme="majorBidi"/>
                <w:color w:val="000000"/>
                <w:sz w:val="21"/>
                <w:szCs w:val="21"/>
              </w:rPr>
              <w:t xml:space="preserve"> Expenditures to Total Assets</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0.1810</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Long Term Debt to Equity</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-0.1107</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Equity to Fixed Assets</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-0.0189</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Current Ratio</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-0.0066</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ROCE</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-7.1971</w:t>
            </w: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r>
      <w:tr w:rsidR="001E4EB8" w:rsidRPr="00254D61" w:rsidTr="00185AE4">
        <w:trPr>
          <w:trHeight w:val="227"/>
        </w:trPr>
        <w:tc>
          <w:tcPr>
            <w:tcW w:w="2125" w:type="pct"/>
            <w:tcBorders>
              <w:left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r w:rsidRPr="001B2E24">
              <w:rPr>
                <w:rFonts w:asciiTheme="majorBidi" w:hAnsiTheme="majorBidi" w:cstheme="majorBidi"/>
                <w:color w:val="000000"/>
                <w:sz w:val="21"/>
                <w:szCs w:val="21"/>
              </w:rPr>
              <w:t>Return on Operating Expenditures</w:t>
            </w:r>
          </w:p>
        </w:tc>
        <w:tc>
          <w:tcPr>
            <w:tcW w:w="700" w:type="pct"/>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690" w:type="pct"/>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-6.8534</w:t>
            </w:r>
          </w:p>
        </w:tc>
        <w:tc>
          <w:tcPr>
            <w:tcW w:w="796" w:type="pct"/>
            <w:tcBorders>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r>
      <w:tr w:rsidR="001E4EB8" w:rsidRPr="00254D61" w:rsidTr="00185AE4">
        <w:trPr>
          <w:trHeight w:val="227"/>
        </w:trPr>
        <w:tc>
          <w:tcPr>
            <w:tcW w:w="2125" w:type="pct"/>
            <w:tcBorders>
              <w:left w:val="single" w:sz="4" w:space="0" w:color="auto"/>
              <w:bottom w:val="single" w:sz="4" w:space="0" w:color="auto"/>
            </w:tcBorders>
            <w:shd w:val="clear" w:color="auto" w:fill="auto"/>
            <w:noWrap/>
            <w:vAlign w:val="center"/>
          </w:tcPr>
          <w:p w:rsidR="001E4EB8" w:rsidRPr="001B2E24" w:rsidRDefault="001E4EB8" w:rsidP="00185AE4">
            <w:pPr>
              <w:spacing w:after="0" w:line="240" w:lineRule="auto"/>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Capital</w:t>
            </w:r>
            <w:proofErr w:type="gramEnd"/>
            <w:r w:rsidRPr="001B2E24">
              <w:rPr>
                <w:rFonts w:asciiTheme="majorBidi" w:hAnsiTheme="majorBidi" w:cstheme="majorBidi"/>
                <w:color w:val="000000"/>
                <w:sz w:val="21"/>
                <w:szCs w:val="21"/>
              </w:rPr>
              <w:t xml:space="preserve"> Expenditures to Total Assets</w:t>
            </w:r>
          </w:p>
        </w:tc>
        <w:tc>
          <w:tcPr>
            <w:tcW w:w="700" w:type="pct"/>
            <w:tcBorders>
              <w:bottom w:val="single" w:sz="4" w:space="0" w:color="auto"/>
            </w:tcBorders>
            <w:shd w:val="clear" w:color="auto" w:fill="auto"/>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p>
        </w:tc>
        <w:tc>
          <w:tcPr>
            <w:tcW w:w="690" w:type="pct"/>
            <w:tcBorders>
              <w:bottom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690" w:type="pct"/>
            <w:tcBorders>
              <w:bottom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sz w:val="21"/>
                <w:szCs w:val="21"/>
              </w:rPr>
            </w:pPr>
          </w:p>
        </w:tc>
        <w:tc>
          <w:tcPr>
            <w:tcW w:w="796" w:type="pct"/>
            <w:tcBorders>
              <w:bottom w:val="single" w:sz="4" w:space="0" w:color="auto"/>
              <w:right w:val="single" w:sz="4" w:space="0" w:color="auto"/>
            </w:tcBorders>
            <w:shd w:val="clear" w:color="auto" w:fill="auto"/>
            <w:noWrap/>
            <w:vAlign w:val="center"/>
          </w:tcPr>
          <w:p w:rsidR="001E4EB8" w:rsidRPr="001B2E24" w:rsidRDefault="001E4EB8"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0.0701</w:t>
            </w:r>
          </w:p>
        </w:tc>
      </w:tr>
    </w:tbl>
    <w:p w:rsidR="00A567FB" w:rsidRPr="00254D61" w:rsidRDefault="00A567FB" w:rsidP="00530BF5">
      <w:pPr>
        <w:rPr>
          <w:rFonts w:asciiTheme="majorBidi" w:hAnsiTheme="majorBidi" w:cstheme="majorBidi"/>
          <w:sz w:val="24"/>
          <w:szCs w:val="24"/>
        </w:rPr>
      </w:pPr>
    </w:p>
    <w:p w:rsidR="00A567FB"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The number of variables found significant in the different models range from </w:t>
      </w:r>
      <w:r w:rsidR="001E4EB8" w:rsidRPr="001B2E24">
        <w:rPr>
          <w:rFonts w:asciiTheme="majorBidi" w:hAnsiTheme="majorBidi" w:cstheme="majorBidi"/>
          <w:sz w:val="21"/>
          <w:szCs w:val="21"/>
        </w:rPr>
        <w:t>9</w:t>
      </w:r>
      <w:r w:rsidRPr="001B2E24">
        <w:rPr>
          <w:rFonts w:asciiTheme="majorBidi" w:hAnsiTheme="majorBidi" w:cstheme="majorBidi"/>
          <w:sz w:val="21"/>
          <w:szCs w:val="21"/>
        </w:rPr>
        <w:t xml:space="preserve"> to </w:t>
      </w:r>
      <w:r w:rsidR="001E4EB8" w:rsidRPr="001B2E24">
        <w:rPr>
          <w:rFonts w:asciiTheme="majorBidi" w:hAnsiTheme="majorBidi" w:cstheme="majorBidi"/>
          <w:sz w:val="21"/>
          <w:szCs w:val="21"/>
        </w:rPr>
        <w:t>15</w:t>
      </w:r>
      <w:r w:rsidRPr="001B2E24">
        <w:rPr>
          <w:rFonts w:asciiTheme="majorBidi" w:hAnsiTheme="majorBidi" w:cstheme="majorBidi"/>
          <w:sz w:val="21"/>
          <w:szCs w:val="21"/>
        </w:rPr>
        <w:t xml:space="preserve"> (an average of </w:t>
      </w:r>
      <w:r w:rsidR="001E4EB8" w:rsidRPr="001B2E24">
        <w:rPr>
          <w:rFonts w:asciiTheme="majorBidi" w:hAnsiTheme="majorBidi" w:cstheme="majorBidi"/>
          <w:sz w:val="21"/>
          <w:szCs w:val="21"/>
        </w:rPr>
        <w:t>11</w:t>
      </w:r>
      <w:r w:rsidRPr="001B2E24">
        <w:rPr>
          <w:rFonts w:asciiTheme="majorBidi" w:hAnsiTheme="majorBidi" w:cstheme="majorBidi"/>
          <w:sz w:val="21"/>
          <w:szCs w:val="21"/>
        </w:rPr>
        <w:t>.</w:t>
      </w:r>
      <w:r w:rsidR="001E4EB8" w:rsidRPr="001B2E24">
        <w:rPr>
          <w:rFonts w:asciiTheme="majorBidi" w:hAnsiTheme="majorBidi" w:cstheme="majorBidi"/>
          <w:sz w:val="21"/>
          <w:szCs w:val="21"/>
        </w:rPr>
        <w:t>7</w:t>
      </w:r>
      <w:r w:rsidRPr="001B2E24">
        <w:rPr>
          <w:rFonts w:asciiTheme="majorBidi" w:hAnsiTheme="majorBidi" w:cstheme="majorBidi"/>
          <w:sz w:val="21"/>
          <w:szCs w:val="21"/>
        </w:rPr>
        <w:t xml:space="preserve">5) for each model, the total number of variables found significant for all models is </w:t>
      </w:r>
      <w:r w:rsidR="001E4EB8" w:rsidRPr="001B2E24">
        <w:rPr>
          <w:rFonts w:asciiTheme="majorBidi" w:hAnsiTheme="majorBidi" w:cstheme="majorBidi"/>
          <w:sz w:val="21"/>
          <w:szCs w:val="21"/>
        </w:rPr>
        <w:t>21</w:t>
      </w:r>
      <w:r w:rsidRPr="001B2E24">
        <w:rPr>
          <w:rFonts w:asciiTheme="majorBidi" w:hAnsiTheme="majorBidi" w:cstheme="majorBidi"/>
          <w:sz w:val="21"/>
          <w:szCs w:val="21"/>
        </w:rPr>
        <w:t xml:space="preserve">. </w:t>
      </w:r>
      <w:proofErr w:type="spellStart"/>
      <w:r w:rsidRPr="001B2E24">
        <w:rPr>
          <w:rFonts w:asciiTheme="majorBidi" w:hAnsiTheme="majorBidi" w:cstheme="majorBidi"/>
          <w:sz w:val="21"/>
          <w:szCs w:val="21"/>
        </w:rPr>
        <w:t>Ou</w:t>
      </w:r>
      <w:proofErr w:type="spellEnd"/>
      <w:r w:rsidRPr="001B2E24">
        <w:rPr>
          <w:rFonts w:asciiTheme="majorBidi" w:hAnsiTheme="majorBidi" w:cstheme="majorBidi"/>
          <w:sz w:val="21"/>
          <w:szCs w:val="21"/>
        </w:rPr>
        <w:t xml:space="preserve"> and Penman (1989) found between 16-18 variables, </w:t>
      </w:r>
      <w:r w:rsidR="008268FF" w:rsidRPr="001B2E24">
        <w:rPr>
          <w:rFonts w:asciiTheme="majorBidi" w:hAnsiTheme="majorBidi" w:cstheme="majorBidi"/>
          <w:sz w:val="21"/>
          <w:szCs w:val="21"/>
        </w:rPr>
        <w:t xml:space="preserve">and </w:t>
      </w:r>
      <w:r w:rsidRPr="001B2E24">
        <w:rPr>
          <w:rFonts w:asciiTheme="majorBidi" w:hAnsiTheme="majorBidi" w:cstheme="majorBidi"/>
          <w:sz w:val="21"/>
          <w:szCs w:val="21"/>
        </w:rPr>
        <w:t xml:space="preserve">Bird et al. (2001) found 12 to 18 variables. </w:t>
      </w:r>
      <w:r w:rsidR="001E4EB8" w:rsidRPr="001B2E24">
        <w:rPr>
          <w:rFonts w:asciiTheme="majorBidi" w:hAnsiTheme="majorBidi" w:cstheme="majorBidi"/>
          <w:sz w:val="21"/>
          <w:szCs w:val="21"/>
        </w:rPr>
        <w:t xml:space="preserve">Five </w:t>
      </w:r>
      <w:r w:rsidRPr="001B2E24">
        <w:rPr>
          <w:rFonts w:asciiTheme="majorBidi" w:hAnsiTheme="majorBidi" w:cstheme="majorBidi"/>
          <w:sz w:val="21"/>
          <w:szCs w:val="21"/>
        </w:rPr>
        <w:t>of the variables (</w:t>
      </w:r>
      <w:r w:rsidR="001E4EB8" w:rsidRPr="001B2E24">
        <w:rPr>
          <w:rFonts w:asciiTheme="majorBidi" w:hAnsiTheme="majorBidi" w:cstheme="majorBidi"/>
          <w:sz w:val="21"/>
          <w:szCs w:val="21"/>
        </w:rPr>
        <w:t xml:space="preserve">Δ Net Profit Margin, ROA, </w:t>
      </w:r>
      <w:r w:rsidR="00304D18" w:rsidRPr="001B2E24">
        <w:rPr>
          <w:rFonts w:asciiTheme="majorBidi" w:hAnsiTheme="majorBidi" w:cstheme="majorBidi"/>
          <w:sz w:val="21"/>
          <w:szCs w:val="21"/>
        </w:rPr>
        <w:t xml:space="preserve">Δ Days sales to Accounts </w:t>
      </w:r>
      <w:proofErr w:type="spellStart"/>
      <w:r w:rsidR="00304D18" w:rsidRPr="001B2E24">
        <w:rPr>
          <w:rFonts w:asciiTheme="majorBidi" w:hAnsiTheme="majorBidi" w:cstheme="majorBidi"/>
          <w:sz w:val="21"/>
          <w:szCs w:val="21"/>
        </w:rPr>
        <w:t>Recv</w:t>
      </w:r>
      <w:proofErr w:type="spellEnd"/>
      <w:r w:rsidR="00304D18" w:rsidRPr="001B2E24">
        <w:rPr>
          <w:rFonts w:asciiTheme="majorBidi" w:hAnsiTheme="majorBidi" w:cstheme="majorBidi"/>
          <w:sz w:val="21"/>
          <w:szCs w:val="21"/>
        </w:rPr>
        <w:t>, Δ Quick Ratio, Operating Income to Total Assets, and Δ Equity to Fixed Assets</w:t>
      </w:r>
      <w:r w:rsidRPr="001B2E24">
        <w:rPr>
          <w:rFonts w:asciiTheme="majorBidi" w:hAnsiTheme="majorBidi" w:cstheme="majorBidi"/>
          <w:sz w:val="21"/>
          <w:szCs w:val="21"/>
        </w:rPr>
        <w:t>) w</w:t>
      </w:r>
      <w:r w:rsidR="00304D18" w:rsidRPr="001B2E24">
        <w:rPr>
          <w:rFonts w:asciiTheme="majorBidi" w:hAnsiTheme="majorBidi" w:cstheme="majorBidi"/>
          <w:sz w:val="21"/>
          <w:szCs w:val="21"/>
        </w:rPr>
        <w:t>ere</w:t>
      </w:r>
      <w:r w:rsidRPr="001B2E24">
        <w:rPr>
          <w:rFonts w:asciiTheme="majorBidi" w:hAnsiTheme="majorBidi" w:cstheme="majorBidi"/>
          <w:sz w:val="21"/>
          <w:szCs w:val="21"/>
        </w:rPr>
        <w:t xml:space="preserve"> common for all the models, </w:t>
      </w:r>
      <w:r w:rsidR="00304D18" w:rsidRPr="001B2E24">
        <w:rPr>
          <w:rFonts w:asciiTheme="majorBidi" w:hAnsiTheme="majorBidi" w:cstheme="majorBidi"/>
          <w:sz w:val="21"/>
          <w:szCs w:val="21"/>
        </w:rPr>
        <w:t xml:space="preserve">eight </w:t>
      </w:r>
      <w:r w:rsidRPr="001B2E24">
        <w:rPr>
          <w:rFonts w:asciiTheme="majorBidi" w:hAnsiTheme="majorBidi" w:cstheme="majorBidi"/>
          <w:sz w:val="21"/>
          <w:szCs w:val="21"/>
        </w:rPr>
        <w:t xml:space="preserve">variables </w:t>
      </w:r>
      <w:r w:rsidR="00304D18" w:rsidRPr="001B2E24">
        <w:rPr>
          <w:rFonts w:asciiTheme="majorBidi" w:hAnsiTheme="majorBidi" w:cstheme="majorBidi"/>
          <w:sz w:val="21"/>
          <w:szCs w:val="21"/>
        </w:rPr>
        <w:t>were</w:t>
      </w:r>
      <w:r w:rsidRPr="001B2E24">
        <w:rPr>
          <w:rFonts w:asciiTheme="majorBidi" w:hAnsiTheme="majorBidi" w:cstheme="majorBidi"/>
          <w:sz w:val="21"/>
          <w:szCs w:val="21"/>
        </w:rPr>
        <w:t xml:space="preserve"> common to </w:t>
      </w:r>
      <w:r w:rsidR="00304D18" w:rsidRPr="001B2E24">
        <w:rPr>
          <w:rFonts w:asciiTheme="majorBidi" w:hAnsiTheme="majorBidi" w:cstheme="majorBidi"/>
          <w:sz w:val="21"/>
          <w:szCs w:val="21"/>
        </w:rPr>
        <w:t>two</w:t>
      </w:r>
      <w:r w:rsidRPr="001B2E24">
        <w:rPr>
          <w:rFonts w:asciiTheme="majorBidi" w:hAnsiTheme="majorBidi" w:cstheme="majorBidi"/>
          <w:sz w:val="21"/>
          <w:szCs w:val="21"/>
        </w:rPr>
        <w:t xml:space="preserve"> of the four models, and the other </w:t>
      </w:r>
      <w:r w:rsidR="00304D18" w:rsidRPr="001B2E24">
        <w:rPr>
          <w:rFonts w:asciiTheme="majorBidi" w:hAnsiTheme="majorBidi" w:cstheme="majorBidi"/>
          <w:sz w:val="21"/>
          <w:szCs w:val="21"/>
        </w:rPr>
        <w:t>seven</w:t>
      </w:r>
      <w:r w:rsidRPr="001B2E24">
        <w:rPr>
          <w:rFonts w:asciiTheme="majorBidi" w:hAnsiTheme="majorBidi" w:cstheme="majorBidi"/>
          <w:sz w:val="21"/>
          <w:szCs w:val="21"/>
        </w:rPr>
        <w:t xml:space="preserve"> variables were specific to only one model.</w:t>
      </w:r>
    </w:p>
    <w:p w:rsidR="00B14043" w:rsidRPr="001B2E24" w:rsidRDefault="00F83601"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Of </w:t>
      </w:r>
      <w:r w:rsidR="00A567FB" w:rsidRPr="001B2E24">
        <w:rPr>
          <w:rFonts w:asciiTheme="majorBidi" w:hAnsiTheme="majorBidi" w:cstheme="majorBidi"/>
          <w:sz w:val="21"/>
          <w:szCs w:val="21"/>
        </w:rPr>
        <w:t xml:space="preserve">the </w:t>
      </w:r>
      <w:r w:rsidRPr="001B2E24">
        <w:rPr>
          <w:rFonts w:asciiTheme="majorBidi" w:hAnsiTheme="majorBidi" w:cstheme="majorBidi"/>
          <w:sz w:val="21"/>
          <w:szCs w:val="21"/>
        </w:rPr>
        <w:t xml:space="preserve">five </w:t>
      </w:r>
      <w:r w:rsidR="00A567FB" w:rsidRPr="001B2E24">
        <w:rPr>
          <w:rFonts w:asciiTheme="majorBidi" w:hAnsiTheme="majorBidi" w:cstheme="majorBidi"/>
          <w:sz w:val="21"/>
          <w:szCs w:val="21"/>
        </w:rPr>
        <w:t xml:space="preserve">prominent variables (variables which appear in </w:t>
      </w:r>
      <w:r w:rsidRPr="001B2E24">
        <w:rPr>
          <w:rFonts w:asciiTheme="majorBidi" w:hAnsiTheme="majorBidi" w:cstheme="majorBidi"/>
          <w:sz w:val="21"/>
          <w:szCs w:val="21"/>
        </w:rPr>
        <w:t>all four models</w:t>
      </w:r>
      <w:r w:rsidR="00A567FB" w:rsidRPr="001B2E24">
        <w:rPr>
          <w:rFonts w:asciiTheme="majorBidi" w:hAnsiTheme="majorBidi" w:cstheme="majorBidi"/>
          <w:sz w:val="21"/>
          <w:szCs w:val="21"/>
        </w:rPr>
        <w:t xml:space="preserve">), </w:t>
      </w:r>
      <w:r w:rsidR="008268FF" w:rsidRPr="001B2E24">
        <w:rPr>
          <w:rFonts w:asciiTheme="majorBidi" w:hAnsiTheme="majorBidi" w:cstheme="majorBidi"/>
          <w:sz w:val="21"/>
          <w:szCs w:val="21"/>
        </w:rPr>
        <w:t xml:space="preserve">only two (Δ Quick Ratio, and Operating Income to Total Assets) </w:t>
      </w:r>
      <w:r w:rsidR="00A567FB" w:rsidRPr="001B2E24">
        <w:rPr>
          <w:rFonts w:asciiTheme="majorBidi" w:hAnsiTheme="majorBidi" w:cstheme="majorBidi"/>
          <w:sz w:val="21"/>
          <w:szCs w:val="21"/>
        </w:rPr>
        <w:t xml:space="preserve">appear in </w:t>
      </w:r>
      <w:r w:rsidR="008268FF" w:rsidRPr="001B2E24">
        <w:rPr>
          <w:rFonts w:asciiTheme="majorBidi" w:hAnsiTheme="majorBidi" w:cstheme="majorBidi"/>
          <w:sz w:val="21"/>
          <w:szCs w:val="21"/>
        </w:rPr>
        <w:t xml:space="preserve">the </w:t>
      </w:r>
      <w:proofErr w:type="spellStart"/>
      <w:r w:rsidR="008268FF" w:rsidRPr="001B2E24">
        <w:rPr>
          <w:rFonts w:asciiTheme="majorBidi" w:hAnsiTheme="majorBidi" w:cstheme="majorBidi"/>
          <w:sz w:val="21"/>
          <w:szCs w:val="21"/>
        </w:rPr>
        <w:t>Ou</w:t>
      </w:r>
      <w:proofErr w:type="spellEnd"/>
      <w:r w:rsidR="008268FF" w:rsidRPr="001B2E24">
        <w:rPr>
          <w:rFonts w:asciiTheme="majorBidi" w:hAnsiTheme="majorBidi" w:cstheme="majorBidi"/>
          <w:sz w:val="21"/>
          <w:szCs w:val="21"/>
        </w:rPr>
        <w:t xml:space="preserve"> and Penman (1989) model, and three (Δ Net Profit Margin, ROA, and Operating Income to Total Assets) appear in the Bird et al. (2001) models.</w:t>
      </w:r>
      <w:r w:rsidR="00B14043" w:rsidRPr="001B2E24">
        <w:rPr>
          <w:rFonts w:asciiTheme="majorBidi" w:hAnsiTheme="majorBidi" w:cstheme="majorBidi"/>
          <w:sz w:val="21"/>
          <w:szCs w:val="21"/>
        </w:rPr>
        <w:t xml:space="preserve"> </w:t>
      </w:r>
    </w:p>
    <w:p w:rsidR="00A567FB" w:rsidRPr="00254D61" w:rsidRDefault="00A567FB" w:rsidP="00420450">
      <w:pPr>
        <w:pStyle w:val="2"/>
      </w:pPr>
      <w:r w:rsidRPr="00254D61">
        <w:t>The Model Forecasts</w:t>
      </w:r>
    </w:p>
    <w:p w:rsidR="00A567FB"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The accuracy of the forecasts </w:t>
      </w:r>
      <w:r w:rsidR="00B14043" w:rsidRPr="001B2E24">
        <w:rPr>
          <w:rFonts w:asciiTheme="majorBidi" w:hAnsiTheme="majorBidi" w:cstheme="majorBidi"/>
          <w:sz w:val="21"/>
          <w:szCs w:val="21"/>
        </w:rPr>
        <w:t>is</w:t>
      </w:r>
      <w:r w:rsidRPr="001B2E24">
        <w:rPr>
          <w:rFonts w:asciiTheme="majorBidi" w:hAnsiTheme="majorBidi" w:cstheme="majorBidi"/>
          <w:sz w:val="21"/>
          <w:szCs w:val="21"/>
        </w:rPr>
        <w:t xml:space="preserve"> judged </w:t>
      </w:r>
      <w:proofErr w:type="gramStart"/>
      <w:r w:rsidRPr="001B2E24">
        <w:rPr>
          <w:rFonts w:asciiTheme="majorBidi" w:hAnsiTheme="majorBidi" w:cstheme="majorBidi"/>
          <w:sz w:val="21"/>
          <w:szCs w:val="21"/>
        </w:rPr>
        <w:t>on the basis of</w:t>
      </w:r>
      <w:proofErr w:type="gramEnd"/>
      <w:r w:rsidRPr="001B2E24">
        <w:rPr>
          <w:rFonts w:asciiTheme="majorBidi" w:hAnsiTheme="majorBidi" w:cstheme="majorBidi"/>
          <w:sz w:val="21"/>
          <w:szCs w:val="21"/>
        </w:rPr>
        <w:t xml:space="preserve"> the percentage of companies classified as 'long' that actually experienced an increase in EPS and those classified as 'short' that actually experience a decrease in EPS. The accuracy of the models (presented in Table </w:t>
      </w:r>
      <w:r w:rsidR="004A43F6" w:rsidRPr="001B2E24">
        <w:rPr>
          <w:rFonts w:asciiTheme="majorBidi" w:hAnsiTheme="majorBidi" w:cstheme="majorBidi"/>
          <w:sz w:val="21"/>
          <w:szCs w:val="21"/>
          <w:rtl/>
        </w:rPr>
        <w:t>3</w:t>
      </w:r>
      <w:r w:rsidRPr="001B2E24">
        <w:rPr>
          <w:rFonts w:asciiTheme="majorBidi" w:hAnsiTheme="majorBidi" w:cstheme="majorBidi"/>
          <w:sz w:val="21"/>
          <w:szCs w:val="21"/>
        </w:rPr>
        <w:t xml:space="preserve">) ranges between </w:t>
      </w:r>
      <w:r w:rsidR="00B14043" w:rsidRPr="001B2E24">
        <w:rPr>
          <w:rFonts w:asciiTheme="majorBidi" w:hAnsiTheme="majorBidi" w:cstheme="majorBidi"/>
          <w:sz w:val="21"/>
          <w:szCs w:val="21"/>
        </w:rPr>
        <w:t>66</w:t>
      </w:r>
      <w:r w:rsidRPr="001B2E24">
        <w:rPr>
          <w:rFonts w:asciiTheme="majorBidi" w:hAnsiTheme="majorBidi" w:cstheme="majorBidi"/>
          <w:sz w:val="21"/>
          <w:szCs w:val="21"/>
        </w:rPr>
        <w:t xml:space="preserve">% - </w:t>
      </w:r>
      <w:r w:rsidR="00B14043" w:rsidRPr="001B2E24">
        <w:rPr>
          <w:rFonts w:asciiTheme="majorBidi" w:hAnsiTheme="majorBidi" w:cstheme="majorBidi"/>
          <w:sz w:val="21"/>
          <w:szCs w:val="21"/>
        </w:rPr>
        <w:t>70</w:t>
      </w:r>
      <w:r w:rsidRPr="001B2E24">
        <w:rPr>
          <w:rFonts w:asciiTheme="majorBidi" w:hAnsiTheme="majorBidi" w:cstheme="majorBidi"/>
          <w:sz w:val="21"/>
          <w:szCs w:val="21"/>
        </w:rPr>
        <w:t xml:space="preserve">%, with an average of </w:t>
      </w:r>
      <w:r w:rsidR="004A43F6" w:rsidRPr="001B2E24">
        <w:rPr>
          <w:rFonts w:asciiTheme="majorBidi" w:hAnsiTheme="majorBidi" w:cstheme="majorBidi"/>
          <w:sz w:val="21"/>
          <w:szCs w:val="21"/>
        </w:rPr>
        <w:t>67.02</w:t>
      </w:r>
      <w:r w:rsidRPr="001B2E24">
        <w:rPr>
          <w:rFonts w:asciiTheme="majorBidi" w:hAnsiTheme="majorBidi" w:cstheme="majorBidi"/>
          <w:sz w:val="21"/>
          <w:szCs w:val="21"/>
        </w:rPr>
        <w:t xml:space="preserve">%. These results are </w:t>
      </w:r>
      <w:proofErr w:type="gramStart"/>
      <w:r w:rsidR="004A43F6" w:rsidRPr="001B2E24">
        <w:rPr>
          <w:rFonts w:asciiTheme="majorBidi" w:hAnsiTheme="majorBidi" w:cstheme="majorBidi"/>
          <w:sz w:val="21"/>
          <w:szCs w:val="21"/>
        </w:rPr>
        <w:t>similar to</w:t>
      </w:r>
      <w:proofErr w:type="gramEnd"/>
      <w:r w:rsidR="004A43F6" w:rsidRPr="001B2E24">
        <w:rPr>
          <w:rFonts w:asciiTheme="majorBidi" w:hAnsiTheme="majorBidi" w:cstheme="majorBidi"/>
          <w:sz w:val="21"/>
          <w:szCs w:val="21"/>
        </w:rPr>
        <w:t xml:space="preserve"> the results</w:t>
      </w:r>
      <w:r w:rsidRPr="001B2E24">
        <w:rPr>
          <w:rFonts w:asciiTheme="majorBidi" w:hAnsiTheme="majorBidi" w:cstheme="majorBidi"/>
          <w:sz w:val="21"/>
          <w:szCs w:val="21"/>
        </w:rPr>
        <w:t xml:space="preserve"> presented by </w:t>
      </w:r>
      <w:proofErr w:type="spellStart"/>
      <w:r w:rsidRPr="001B2E24">
        <w:rPr>
          <w:rFonts w:asciiTheme="majorBidi" w:hAnsiTheme="majorBidi" w:cstheme="majorBidi"/>
          <w:sz w:val="21"/>
          <w:szCs w:val="21"/>
        </w:rPr>
        <w:t>Ou</w:t>
      </w:r>
      <w:proofErr w:type="spellEnd"/>
      <w:r w:rsidRPr="001B2E24">
        <w:rPr>
          <w:rFonts w:asciiTheme="majorBidi" w:hAnsiTheme="majorBidi" w:cstheme="majorBidi"/>
          <w:sz w:val="21"/>
          <w:szCs w:val="21"/>
        </w:rPr>
        <w:t xml:space="preserve"> and Penman (1989) which averaged 67% and those of Bird et al. (2001) which ranged between 60-67%.</w:t>
      </w:r>
    </w:p>
    <w:p w:rsidR="00637394" w:rsidRPr="00254D61" w:rsidRDefault="00637394" w:rsidP="00530BF5">
      <w:pPr>
        <w:jc w:val="center"/>
        <w:rPr>
          <w:rFonts w:asciiTheme="majorBidi" w:hAnsiTheme="majorBidi" w:cstheme="majorBidi"/>
          <w:b/>
          <w:bCs/>
          <w:sz w:val="20"/>
          <w:szCs w:val="20"/>
        </w:rPr>
      </w:pPr>
      <w:r w:rsidRPr="00254D61">
        <w:rPr>
          <w:rFonts w:asciiTheme="majorBidi" w:hAnsiTheme="majorBidi" w:cstheme="majorBidi"/>
          <w:b/>
          <w:bCs/>
          <w:sz w:val="20"/>
          <w:szCs w:val="20"/>
        </w:rPr>
        <w:t>Table 3: Accuracy and Portfolio size</w:t>
      </w:r>
    </w:p>
    <w:tbl>
      <w:tblPr>
        <w:tblW w:w="10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6"/>
        <w:gridCol w:w="1191"/>
        <w:gridCol w:w="1191"/>
        <w:gridCol w:w="1191"/>
        <w:gridCol w:w="1191"/>
        <w:gridCol w:w="340"/>
        <w:gridCol w:w="1191"/>
      </w:tblGrid>
      <w:tr w:rsidR="000932D0" w:rsidRPr="001B2E24" w:rsidTr="000932D0">
        <w:trPr>
          <w:trHeight w:val="300"/>
        </w:trPr>
        <w:tc>
          <w:tcPr>
            <w:tcW w:w="3876" w:type="dxa"/>
            <w:shd w:val="clear" w:color="auto" w:fill="auto"/>
            <w:noWrap/>
            <w:vAlign w:val="bottom"/>
            <w:hideMark/>
          </w:tcPr>
          <w:p w:rsidR="004A43F6" w:rsidRPr="001B2E24" w:rsidRDefault="004A43F6" w:rsidP="00185AE4">
            <w:pPr>
              <w:spacing w:after="0" w:line="240" w:lineRule="auto"/>
              <w:ind w:left="0"/>
              <w:rPr>
                <w:rFonts w:asciiTheme="majorBidi" w:eastAsia="Times New Roman" w:hAnsiTheme="majorBidi" w:cstheme="majorBidi"/>
                <w:sz w:val="21"/>
                <w:szCs w:val="21"/>
              </w:rPr>
            </w:pPr>
          </w:p>
        </w:tc>
        <w:tc>
          <w:tcPr>
            <w:tcW w:w="1191" w:type="dxa"/>
            <w:shd w:val="clear" w:color="auto" w:fill="auto"/>
            <w:noWrap/>
            <w:vAlign w:val="center"/>
            <w:hideMark/>
          </w:tcPr>
          <w:p w:rsidR="004A43F6" w:rsidRPr="001B2E24" w:rsidRDefault="004A43F6" w:rsidP="00185AE4">
            <w:pPr>
              <w:spacing w:after="0" w:line="240" w:lineRule="auto"/>
              <w:ind w:left="0"/>
              <w:rPr>
                <w:rFonts w:asciiTheme="majorBidi" w:eastAsia="Times New Roman" w:hAnsiTheme="majorBidi" w:cstheme="majorBidi"/>
                <w:b/>
                <w:bCs/>
                <w:color w:val="000000"/>
                <w:sz w:val="21"/>
                <w:szCs w:val="21"/>
              </w:rPr>
            </w:pPr>
            <w:r w:rsidRPr="001B2E24">
              <w:rPr>
                <w:rFonts w:asciiTheme="majorBidi" w:eastAsia="Times New Roman" w:hAnsiTheme="majorBidi" w:cstheme="majorBidi"/>
                <w:b/>
                <w:bCs/>
                <w:color w:val="000000"/>
                <w:sz w:val="21"/>
                <w:szCs w:val="21"/>
              </w:rPr>
              <w:t>Q3/2015</w:t>
            </w:r>
          </w:p>
        </w:tc>
        <w:tc>
          <w:tcPr>
            <w:tcW w:w="1191" w:type="dxa"/>
            <w:shd w:val="clear" w:color="auto" w:fill="auto"/>
            <w:noWrap/>
            <w:vAlign w:val="center"/>
            <w:hideMark/>
          </w:tcPr>
          <w:p w:rsidR="004A43F6" w:rsidRPr="001B2E24" w:rsidRDefault="004A43F6" w:rsidP="00185AE4">
            <w:pPr>
              <w:spacing w:after="0" w:line="240" w:lineRule="auto"/>
              <w:ind w:left="0"/>
              <w:rPr>
                <w:rFonts w:asciiTheme="majorBidi" w:eastAsia="Times New Roman" w:hAnsiTheme="majorBidi" w:cstheme="majorBidi"/>
                <w:b/>
                <w:bCs/>
                <w:color w:val="000000"/>
                <w:sz w:val="21"/>
                <w:szCs w:val="21"/>
              </w:rPr>
            </w:pPr>
            <w:r w:rsidRPr="001B2E24">
              <w:rPr>
                <w:rFonts w:asciiTheme="majorBidi" w:eastAsia="Times New Roman" w:hAnsiTheme="majorBidi" w:cstheme="majorBidi"/>
                <w:b/>
                <w:bCs/>
                <w:color w:val="000000"/>
                <w:sz w:val="21"/>
                <w:szCs w:val="21"/>
              </w:rPr>
              <w:t>Q4/2015</w:t>
            </w:r>
          </w:p>
        </w:tc>
        <w:tc>
          <w:tcPr>
            <w:tcW w:w="1191" w:type="dxa"/>
            <w:shd w:val="clear" w:color="auto" w:fill="auto"/>
            <w:noWrap/>
            <w:vAlign w:val="center"/>
            <w:hideMark/>
          </w:tcPr>
          <w:p w:rsidR="004A43F6" w:rsidRPr="001B2E24" w:rsidRDefault="004A43F6" w:rsidP="00185AE4">
            <w:pPr>
              <w:spacing w:after="0" w:line="240" w:lineRule="auto"/>
              <w:ind w:left="0"/>
              <w:rPr>
                <w:rFonts w:asciiTheme="majorBidi" w:eastAsia="Times New Roman" w:hAnsiTheme="majorBidi" w:cstheme="majorBidi"/>
                <w:b/>
                <w:bCs/>
                <w:color w:val="000000"/>
                <w:sz w:val="21"/>
                <w:szCs w:val="21"/>
              </w:rPr>
            </w:pPr>
            <w:r w:rsidRPr="001B2E24">
              <w:rPr>
                <w:rFonts w:asciiTheme="majorBidi" w:eastAsia="Times New Roman" w:hAnsiTheme="majorBidi" w:cstheme="majorBidi"/>
                <w:b/>
                <w:bCs/>
                <w:color w:val="000000"/>
                <w:sz w:val="21"/>
                <w:szCs w:val="21"/>
              </w:rPr>
              <w:t>Q1/2016</w:t>
            </w:r>
          </w:p>
        </w:tc>
        <w:tc>
          <w:tcPr>
            <w:tcW w:w="1191" w:type="dxa"/>
            <w:shd w:val="clear" w:color="auto" w:fill="auto"/>
            <w:noWrap/>
            <w:vAlign w:val="center"/>
            <w:hideMark/>
          </w:tcPr>
          <w:p w:rsidR="004A43F6" w:rsidRPr="001B2E24" w:rsidRDefault="004A43F6" w:rsidP="00185AE4">
            <w:pPr>
              <w:spacing w:after="0" w:line="240" w:lineRule="auto"/>
              <w:ind w:left="0"/>
              <w:rPr>
                <w:rFonts w:asciiTheme="majorBidi" w:eastAsia="Times New Roman" w:hAnsiTheme="majorBidi" w:cstheme="majorBidi"/>
                <w:b/>
                <w:bCs/>
                <w:color w:val="000000"/>
                <w:sz w:val="21"/>
                <w:szCs w:val="21"/>
              </w:rPr>
            </w:pPr>
            <w:r w:rsidRPr="001B2E24">
              <w:rPr>
                <w:rFonts w:asciiTheme="majorBidi" w:eastAsia="Times New Roman" w:hAnsiTheme="majorBidi" w:cstheme="majorBidi"/>
                <w:b/>
                <w:bCs/>
                <w:color w:val="000000"/>
                <w:sz w:val="21"/>
                <w:szCs w:val="21"/>
              </w:rPr>
              <w:t>Q2/2016</w:t>
            </w:r>
          </w:p>
        </w:tc>
        <w:tc>
          <w:tcPr>
            <w:tcW w:w="340" w:type="dxa"/>
            <w:shd w:val="clear" w:color="auto" w:fill="auto"/>
            <w:noWrap/>
            <w:vAlign w:val="bottom"/>
            <w:hideMark/>
          </w:tcPr>
          <w:p w:rsidR="004A43F6" w:rsidRPr="001B2E24" w:rsidRDefault="004A43F6" w:rsidP="00185AE4">
            <w:pPr>
              <w:spacing w:after="0" w:line="240" w:lineRule="auto"/>
              <w:ind w:left="0"/>
              <w:rPr>
                <w:rFonts w:asciiTheme="majorBidi" w:eastAsia="Times New Roman" w:hAnsiTheme="majorBidi" w:cstheme="majorBidi"/>
                <w:b/>
                <w:bCs/>
                <w:color w:val="000000"/>
                <w:sz w:val="21"/>
                <w:szCs w:val="21"/>
              </w:rPr>
            </w:pPr>
          </w:p>
        </w:tc>
        <w:tc>
          <w:tcPr>
            <w:tcW w:w="1191" w:type="dxa"/>
            <w:shd w:val="clear" w:color="auto" w:fill="auto"/>
            <w:noWrap/>
            <w:vAlign w:val="center"/>
            <w:hideMark/>
          </w:tcPr>
          <w:p w:rsidR="004A43F6" w:rsidRPr="001B2E24" w:rsidRDefault="004A43F6" w:rsidP="00185AE4">
            <w:pPr>
              <w:spacing w:after="0" w:line="240" w:lineRule="auto"/>
              <w:ind w:left="0"/>
              <w:rPr>
                <w:rFonts w:asciiTheme="majorBidi" w:eastAsia="Times New Roman" w:hAnsiTheme="majorBidi" w:cstheme="majorBidi"/>
                <w:b/>
                <w:bCs/>
                <w:color w:val="000000"/>
                <w:sz w:val="21"/>
                <w:szCs w:val="21"/>
              </w:rPr>
            </w:pPr>
            <w:r w:rsidRPr="001B2E24">
              <w:rPr>
                <w:rFonts w:asciiTheme="majorBidi" w:eastAsia="Times New Roman" w:hAnsiTheme="majorBidi" w:cstheme="majorBidi"/>
                <w:b/>
                <w:bCs/>
                <w:color w:val="000000"/>
                <w:sz w:val="21"/>
                <w:szCs w:val="21"/>
              </w:rPr>
              <w:t>Average</w:t>
            </w:r>
          </w:p>
        </w:tc>
      </w:tr>
      <w:tr w:rsidR="000932D0" w:rsidRPr="001B2E24" w:rsidTr="000932D0">
        <w:trPr>
          <w:trHeight w:val="300"/>
        </w:trPr>
        <w:tc>
          <w:tcPr>
            <w:tcW w:w="3876" w:type="dxa"/>
            <w:shd w:val="clear" w:color="auto" w:fill="auto"/>
            <w:vAlign w:val="center"/>
            <w:hideMark/>
          </w:tcPr>
          <w:p w:rsidR="004A43F6" w:rsidRPr="001B2E24" w:rsidRDefault="00637394" w:rsidP="00185AE4">
            <w:pPr>
              <w:spacing w:after="0" w:line="240" w:lineRule="auto"/>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A</w:t>
            </w:r>
            <w:r w:rsidR="004A43F6" w:rsidRPr="001B2E24">
              <w:rPr>
                <w:rFonts w:asciiTheme="majorBidi" w:eastAsia="Times New Roman" w:hAnsiTheme="majorBidi" w:cstheme="majorBidi"/>
                <w:color w:val="000000"/>
                <w:sz w:val="21"/>
                <w:szCs w:val="21"/>
              </w:rPr>
              <w:t>ccuracy</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66.09%</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70.00%</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66.15%</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65.85%</w:t>
            </w:r>
          </w:p>
        </w:tc>
        <w:tc>
          <w:tcPr>
            <w:tcW w:w="340"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67.02%</w:t>
            </w:r>
          </w:p>
        </w:tc>
      </w:tr>
      <w:tr w:rsidR="000932D0" w:rsidRPr="001B2E24" w:rsidTr="000932D0">
        <w:trPr>
          <w:trHeight w:val="300"/>
        </w:trPr>
        <w:tc>
          <w:tcPr>
            <w:tcW w:w="3876" w:type="dxa"/>
            <w:shd w:val="clear" w:color="auto" w:fill="auto"/>
            <w:vAlign w:val="center"/>
            <w:hideMark/>
          </w:tcPr>
          <w:p w:rsidR="004A43F6" w:rsidRPr="001B2E24" w:rsidRDefault="0082737F" w:rsidP="00185AE4">
            <w:pPr>
              <w:spacing w:after="0" w:line="240" w:lineRule="auto"/>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Number of companies used in model</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836</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826</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853</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816</w:t>
            </w:r>
          </w:p>
        </w:tc>
        <w:tc>
          <w:tcPr>
            <w:tcW w:w="340"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832.75</w:t>
            </w:r>
          </w:p>
        </w:tc>
      </w:tr>
      <w:tr w:rsidR="000932D0" w:rsidRPr="001B2E24" w:rsidTr="000932D0">
        <w:trPr>
          <w:trHeight w:val="300"/>
        </w:trPr>
        <w:tc>
          <w:tcPr>
            <w:tcW w:w="3876" w:type="dxa"/>
            <w:shd w:val="clear" w:color="auto" w:fill="auto"/>
            <w:vAlign w:val="center"/>
            <w:hideMark/>
          </w:tcPr>
          <w:p w:rsidR="004A43F6" w:rsidRPr="001B2E24" w:rsidRDefault="0082737F" w:rsidP="00185AE4">
            <w:pPr>
              <w:spacing w:after="0" w:line="240" w:lineRule="auto"/>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Portfolio Size</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329</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336</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374</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354</w:t>
            </w:r>
          </w:p>
        </w:tc>
        <w:tc>
          <w:tcPr>
            <w:tcW w:w="340"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348.25</w:t>
            </w:r>
          </w:p>
        </w:tc>
      </w:tr>
      <w:tr w:rsidR="000932D0" w:rsidRPr="001B2E24" w:rsidTr="000932D0">
        <w:trPr>
          <w:trHeight w:val="300"/>
        </w:trPr>
        <w:tc>
          <w:tcPr>
            <w:tcW w:w="3876" w:type="dxa"/>
            <w:shd w:val="clear" w:color="auto" w:fill="auto"/>
            <w:vAlign w:val="center"/>
            <w:hideMark/>
          </w:tcPr>
          <w:p w:rsidR="004A43F6" w:rsidRPr="001B2E24" w:rsidRDefault="004A43F6" w:rsidP="00185AE4">
            <w:pPr>
              <w:spacing w:after="0" w:line="240" w:lineRule="auto"/>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Percentage of Portfolio size</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39.35%</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40.68%</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43.85%</w:t>
            </w: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43.38%</w:t>
            </w:r>
          </w:p>
        </w:tc>
        <w:tc>
          <w:tcPr>
            <w:tcW w:w="340"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p>
        </w:tc>
        <w:tc>
          <w:tcPr>
            <w:tcW w:w="1191" w:type="dxa"/>
            <w:shd w:val="clear" w:color="auto" w:fill="auto"/>
            <w:vAlign w:val="center"/>
            <w:hideMark/>
          </w:tcPr>
          <w:p w:rsidR="004A43F6" w:rsidRPr="001B2E24" w:rsidRDefault="004A43F6" w:rsidP="00185AE4">
            <w:pPr>
              <w:spacing w:after="0" w:line="240" w:lineRule="auto"/>
              <w:ind w:left="0"/>
              <w:jc w:val="center"/>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41.81%</w:t>
            </w:r>
          </w:p>
        </w:tc>
      </w:tr>
    </w:tbl>
    <w:p w:rsidR="004A43F6" w:rsidRPr="00254D61" w:rsidRDefault="004A43F6" w:rsidP="00530BF5">
      <w:pPr>
        <w:rPr>
          <w:rFonts w:asciiTheme="majorBidi" w:hAnsiTheme="majorBidi" w:cstheme="majorBidi"/>
          <w:sz w:val="24"/>
          <w:szCs w:val="24"/>
        </w:rPr>
      </w:pPr>
    </w:p>
    <w:p w:rsidR="004A43F6" w:rsidRPr="001B2E24" w:rsidRDefault="004A43F6"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However, it should be noted that a very small number of </w:t>
      </w:r>
      <w:r w:rsidR="00E71A4B" w:rsidRPr="001B2E24">
        <w:rPr>
          <w:rFonts w:asciiTheme="majorBidi" w:hAnsiTheme="majorBidi" w:cstheme="majorBidi"/>
          <w:sz w:val="21"/>
          <w:szCs w:val="21"/>
        </w:rPr>
        <w:t xml:space="preserve">companies, 23.1% </w:t>
      </w:r>
      <w:r w:rsidR="005C5FC0" w:rsidRPr="001B2E24">
        <w:rPr>
          <w:rFonts w:asciiTheme="majorBidi" w:hAnsiTheme="majorBidi" w:cstheme="majorBidi"/>
          <w:sz w:val="21"/>
          <w:szCs w:val="21"/>
        </w:rPr>
        <w:t>were utilized</w:t>
      </w:r>
      <w:r w:rsidRPr="001B2E24">
        <w:rPr>
          <w:rFonts w:asciiTheme="majorBidi" w:hAnsiTheme="majorBidi" w:cstheme="majorBidi"/>
          <w:sz w:val="21"/>
          <w:szCs w:val="21"/>
        </w:rPr>
        <w:t xml:space="preserve"> </w:t>
      </w:r>
      <w:r w:rsidR="00E71A4B" w:rsidRPr="001B2E24">
        <w:rPr>
          <w:rFonts w:asciiTheme="majorBidi" w:hAnsiTheme="majorBidi" w:cstheme="majorBidi"/>
          <w:sz w:val="21"/>
          <w:szCs w:val="21"/>
        </w:rPr>
        <w:t xml:space="preserve">(an average of 833 companies) </w:t>
      </w:r>
      <w:r w:rsidRPr="001B2E24">
        <w:rPr>
          <w:rFonts w:asciiTheme="majorBidi" w:hAnsiTheme="majorBidi" w:cstheme="majorBidi"/>
          <w:sz w:val="21"/>
          <w:szCs w:val="21"/>
        </w:rPr>
        <w:t>in determining the models</w:t>
      </w:r>
      <w:r w:rsidR="00E71A4B" w:rsidRPr="001B2E24">
        <w:rPr>
          <w:rFonts w:asciiTheme="majorBidi" w:hAnsiTheme="majorBidi" w:cstheme="majorBidi"/>
          <w:sz w:val="21"/>
          <w:szCs w:val="21"/>
        </w:rPr>
        <w:t>,</w:t>
      </w:r>
      <w:r w:rsidRPr="001B2E24">
        <w:rPr>
          <w:rFonts w:asciiTheme="majorBidi" w:hAnsiTheme="majorBidi" w:cstheme="majorBidi"/>
          <w:sz w:val="21"/>
          <w:szCs w:val="21"/>
        </w:rPr>
        <w:t xml:space="preserve"> out of the </w:t>
      </w:r>
      <w:r w:rsidR="005C5FC0" w:rsidRPr="001B2E24">
        <w:rPr>
          <w:rFonts w:asciiTheme="majorBidi" w:hAnsiTheme="majorBidi" w:cstheme="majorBidi"/>
          <w:sz w:val="21"/>
          <w:szCs w:val="21"/>
        </w:rPr>
        <w:t>entire</w:t>
      </w:r>
      <w:r w:rsidRPr="001B2E24">
        <w:rPr>
          <w:rFonts w:asciiTheme="majorBidi" w:hAnsiTheme="majorBidi" w:cstheme="majorBidi"/>
          <w:sz w:val="21"/>
          <w:szCs w:val="21"/>
        </w:rPr>
        <w:t xml:space="preserve"> </w:t>
      </w:r>
      <w:r w:rsidR="005C5FC0" w:rsidRPr="001B2E24">
        <w:rPr>
          <w:rFonts w:asciiTheme="majorBidi" w:hAnsiTheme="majorBidi" w:cstheme="majorBidi"/>
          <w:sz w:val="21"/>
          <w:szCs w:val="21"/>
        </w:rPr>
        <w:t>sample</w:t>
      </w:r>
      <w:r w:rsidRPr="001B2E24">
        <w:rPr>
          <w:rFonts w:asciiTheme="majorBidi" w:hAnsiTheme="majorBidi" w:cstheme="majorBidi"/>
          <w:sz w:val="21"/>
          <w:szCs w:val="21"/>
        </w:rPr>
        <w:t xml:space="preserve"> </w:t>
      </w:r>
      <w:r w:rsidR="00E71A4B" w:rsidRPr="001B2E24">
        <w:rPr>
          <w:rFonts w:asciiTheme="majorBidi" w:hAnsiTheme="majorBidi" w:cstheme="majorBidi"/>
          <w:sz w:val="21"/>
          <w:szCs w:val="21"/>
        </w:rPr>
        <w:t>(3</w:t>
      </w:r>
      <w:r w:rsidR="00D8608E" w:rsidRPr="001B2E24">
        <w:rPr>
          <w:rFonts w:asciiTheme="majorBidi" w:hAnsiTheme="majorBidi" w:cstheme="majorBidi"/>
          <w:sz w:val="21"/>
          <w:szCs w:val="21"/>
        </w:rPr>
        <w:t>,</w:t>
      </w:r>
      <w:r w:rsidR="00E71A4B" w:rsidRPr="001B2E24">
        <w:rPr>
          <w:rFonts w:asciiTheme="majorBidi" w:hAnsiTheme="majorBidi" w:cstheme="majorBidi"/>
          <w:sz w:val="21"/>
          <w:szCs w:val="21"/>
        </w:rPr>
        <w:t>603 companies, see Table 1).</w:t>
      </w:r>
      <w:r w:rsidR="00DE3637" w:rsidRPr="001B2E24">
        <w:rPr>
          <w:rFonts w:asciiTheme="majorBidi" w:hAnsiTheme="majorBidi" w:cstheme="majorBidi"/>
          <w:sz w:val="21"/>
          <w:szCs w:val="21"/>
        </w:rPr>
        <w:t xml:space="preserve"> </w:t>
      </w:r>
      <w:r w:rsidR="000932D0" w:rsidRPr="001B2E24">
        <w:rPr>
          <w:rFonts w:asciiTheme="majorBidi" w:hAnsiTheme="majorBidi" w:cstheme="majorBidi"/>
          <w:sz w:val="21"/>
          <w:szCs w:val="21"/>
        </w:rPr>
        <w:t>O</w:t>
      </w:r>
      <w:r w:rsidR="00DE3637" w:rsidRPr="001B2E24">
        <w:rPr>
          <w:rFonts w:asciiTheme="majorBidi" w:hAnsiTheme="majorBidi" w:cstheme="majorBidi"/>
          <w:sz w:val="21"/>
          <w:szCs w:val="21"/>
        </w:rPr>
        <w:t xml:space="preserve">f the companies </w:t>
      </w:r>
      <w:r w:rsidR="000932D0" w:rsidRPr="001B2E24">
        <w:rPr>
          <w:rFonts w:asciiTheme="majorBidi" w:hAnsiTheme="majorBidi" w:cstheme="majorBidi"/>
          <w:sz w:val="21"/>
          <w:szCs w:val="21"/>
        </w:rPr>
        <w:t>utilized</w:t>
      </w:r>
      <w:r w:rsidR="00DE3637" w:rsidRPr="001B2E24">
        <w:rPr>
          <w:rFonts w:asciiTheme="majorBidi" w:hAnsiTheme="majorBidi" w:cstheme="majorBidi"/>
          <w:sz w:val="21"/>
          <w:szCs w:val="21"/>
        </w:rPr>
        <w:t xml:space="preserve">, the models were only able to classify </w:t>
      </w:r>
      <w:r w:rsidR="000932D0" w:rsidRPr="001B2E24">
        <w:rPr>
          <w:rFonts w:asciiTheme="majorBidi" w:hAnsiTheme="majorBidi" w:cstheme="majorBidi"/>
          <w:sz w:val="21"/>
          <w:szCs w:val="21"/>
        </w:rPr>
        <w:t xml:space="preserve">an average of 42%, that is </w:t>
      </w:r>
      <w:r w:rsidR="00707C3A" w:rsidRPr="001B2E24">
        <w:rPr>
          <w:rFonts w:asciiTheme="majorBidi" w:hAnsiTheme="majorBidi" w:cstheme="majorBidi"/>
          <w:sz w:val="21"/>
          <w:szCs w:val="21"/>
        </w:rPr>
        <w:t xml:space="preserve">less than 10% (348 companies) </w:t>
      </w:r>
      <w:r w:rsidR="005C5FC0" w:rsidRPr="001B2E24">
        <w:rPr>
          <w:rFonts w:asciiTheme="majorBidi" w:hAnsiTheme="majorBidi" w:cstheme="majorBidi"/>
          <w:sz w:val="21"/>
          <w:szCs w:val="21"/>
        </w:rPr>
        <w:t>of the entire sample.</w:t>
      </w:r>
    </w:p>
    <w:p w:rsidR="004A43F6" w:rsidRPr="001B2E24" w:rsidRDefault="004A43F6" w:rsidP="001B2E24">
      <w:pPr>
        <w:spacing w:after="0"/>
        <w:ind w:left="0" w:firstLineChars="200" w:firstLine="420"/>
        <w:rPr>
          <w:rFonts w:asciiTheme="majorBidi" w:hAnsiTheme="majorBidi" w:cstheme="majorBidi"/>
          <w:sz w:val="21"/>
          <w:szCs w:val="21"/>
          <w:rtl/>
        </w:rPr>
      </w:pPr>
    </w:p>
    <w:p w:rsidR="00A567FB" w:rsidRPr="00254D61" w:rsidRDefault="00267542" w:rsidP="00420450">
      <w:pPr>
        <w:pStyle w:val="1"/>
      </w:pPr>
      <w:r w:rsidRPr="00254D61">
        <w:t>DATA</w:t>
      </w:r>
      <w:r w:rsidR="003D6664" w:rsidRPr="00254D61">
        <w:t xml:space="preserve"> IMPUTATION</w:t>
      </w:r>
    </w:p>
    <w:p w:rsidR="00F052A3" w:rsidRPr="001B2E24" w:rsidRDefault="005E4875"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The main problem with the models presented is </w:t>
      </w:r>
      <w:r w:rsidR="00D8608E" w:rsidRPr="001B2E24">
        <w:rPr>
          <w:rFonts w:asciiTheme="majorBidi" w:hAnsiTheme="majorBidi" w:cstheme="majorBidi"/>
          <w:sz w:val="21"/>
          <w:szCs w:val="21"/>
        </w:rPr>
        <w:t>their</w:t>
      </w:r>
      <w:r w:rsidRPr="001B2E24">
        <w:rPr>
          <w:rFonts w:asciiTheme="majorBidi" w:hAnsiTheme="majorBidi" w:cstheme="majorBidi"/>
          <w:sz w:val="21"/>
          <w:szCs w:val="21"/>
        </w:rPr>
        <w:t xml:space="preserve"> inability to </w:t>
      </w:r>
      <w:r w:rsidR="00D8608E" w:rsidRPr="001B2E24">
        <w:rPr>
          <w:rFonts w:asciiTheme="majorBidi" w:hAnsiTheme="majorBidi" w:cstheme="majorBidi"/>
          <w:sz w:val="21"/>
          <w:szCs w:val="21"/>
        </w:rPr>
        <w:t>model many of the companies (only 23%) so that even if the models</w:t>
      </w:r>
      <w:r w:rsidR="00EE755F" w:rsidRPr="001B2E24">
        <w:rPr>
          <w:rFonts w:asciiTheme="majorBidi" w:hAnsiTheme="majorBidi" w:cstheme="majorBidi"/>
          <w:sz w:val="21"/>
          <w:szCs w:val="21"/>
        </w:rPr>
        <w:t xml:space="preserve"> </w:t>
      </w:r>
      <w:r w:rsidR="00670166" w:rsidRPr="001B2E24">
        <w:rPr>
          <w:rFonts w:asciiTheme="majorBidi" w:hAnsiTheme="majorBidi" w:cstheme="majorBidi"/>
          <w:sz w:val="21"/>
          <w:szCs w:val="21"/>
        </w:rPr>
        <w:t>can</w:t>
      </w:r>
      <w:r w:rsidR="00EE755F" w:rsidRPr="001B2E24">
        <w:rPr>
          <w:rFonts w:asciiTheme="majorBidi" w:hAnsiTheme="majorBidi" w:cstheme="majorBidi"/>
          <w:sz w:val="21"/>
          <w:szCs w:val="21"/>
        </w:rPr>
        <w:t xml:space="preserve"> classify approximately 42% of the companies </w:t>
      </w:r>
      <w:r w:rsidR="00EA189E" w:rsidRPr="001B2E24">
        <w:rPr>
          <w:rFonts w:asciiTheme="majorBidi" w:hAnsiTheme="majorBidi" w:cstheme="majorBidi"/>
          <w:sz w:val="21"/>
          <w:szCs w:val="21"/>
        </w:rPr>
        <w:t xml:space="preserve">utilized </w:t>
      </w:r>
      <w:r w:rsidR="00EE755F" w:rsidRPr="001B2E24">
        <w:rPr>
          <w:rFonts w:asciiTheme="majorBidi" w:hAnsiTheme="majorBidi" w:cstheme="majorBidi"/>
          <w:sz w:val="21"/>
          <w:szCs w:val="21"/>
        </w:rPr>
        <w:t xml:space="preserve">they create relatively small portfolios that include less than 10% of the </w:t>
      </w:r>
      <w:r w:rsidR="00EA189E" w:rsidRPr="001B2E24">
        <w:rPr>
          <w:rFonts w:asciiTheme="majorBidi" w:hAnsiTheme="majorBidi" w:cstheme="majorBidi"/>
          <w:sz w:val="21"/>
          <w:szCs w:val="21"/>
        </w:rPr>
        <w:t>entire sample</w:t>
      </w:r>
      <w:r w:rsidR="00EE755F" w:rsidRPr="001B2E24">
        <w:rPr>
          <w:rFonts w:asciiTheme="majorBidi" w:hAnsiTheme="majorBidi" w:cstheme="majorBidi"/>
          <w:sz w:val="21"/>
          <w:szCs w:val="21"/>
        </w:rPr>
        <w:t xml:space="preserve"> (average of 348 out of 3,603)</w:t>
      </w:r>
      <w:r w:rsidRPr="001B2E24">
        <w:rPr>
          <w:rFonts w:asciiTheme="majorBidi" w:hAnsiTheme="majorBidi" w:cstheme="majorBidi"/>
          <w:sz w:val="21"/>
          <w:szCs w:val="21"/>
        </w:rPr>
        <w:t xml:space="preserve">. </w:t>
      </w:r>
    </w:p>
    <w:p w:rsidR="00B8616F" w:rsidRPr="001B2E24" w:rsidRDefault="00122544"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One of the reasons that the models could not use more data is because the data was not available</w:t>
      </w:r>
      <w:r w:rsidR="003319F8">
        <w:rPr>
          <w:rFonts w:asciiTheme="majorBidi" w:hAnsiTheme="majorBidi" w:cstheme="majorBidi"/>
          <w:sz w:val="21"/>
          <w:szCs w:val="21"/>
        </w:rPr>
        <w:t xml:space="preserve"> </w:t>
      </w:r>
      <w:r w:rsidR="003319F8">
        <w:rPr>
          <w:rFonts w:asciiTheme="majorBidi" w:hAnsiTheme="majorBidi" w:cstheme="majorBidi"/>
          <w:sz w:val="21"/>
          <w:szCs w:val="21"/>
        </w:rPr>
        <w:fldChar w:fldCharType="begin" w:fldLock="1"/>
      </w:r>
      <w:r w:rsidR="003319F8">
        <w:rPr>
          <w:rFonts w:asciiTheme="majorBidi" w:hAnsiTheme="majorBidi" w:cstheme="majorBidi"/>
          <w:sz w:val="21"/>
          <w:szCs w:val="21"/>
        </w:rPr>
        <w:instrText>ADDIN CSL_CITATION { "citationItems" : [ { "id" : "ITEM-1", "itemData" : { "author" : [ { "dropping-particle" : "", "family" : "Williams", "given" : "Kelly L", "non-dropping-particle" : "", "parse-names" : false, "suffix" : "" } ], "id" : "ITEM-1", "issue" : "August", "issued" : { "date-parts" : [ [ "2015" ] ] }, "title" : "The Prediction of Future Earnings Using Financial Statement Information: Are XBRL Company Filings up to the Task?", "type" : "report" }, "uris" : [ "http://www.mendeley.com/documents/?uuid=84aca0ab-a29e-4cbf-b95b-5c84ac0b66fd" ] }, { "id" : "ITEM-2", "itemData" : { "DOI" : "10.2308/isys-50922", "ISBN" : "1558-7959", "ISSN" : "0888-7985", "abstract" : "Compustat is frequently used for both research and decision making. It has been documented that information found in the Compustat database differs from both the information found in other accounting databases and the information disclosed in corporate financial filings (San Miguel 1977; Rosenberg and Houglet 1974; Yang, Vasarhelyi, and Liu 2003; Tallapally, Luehlfing, and Motha 2011, 2012; Boritz and No 2013). In this study, we conduct the first large-scale comparison of Compustat and 10-K data. Specifically, we compare 30 accounting line items of approximately 5,000 companies for the period from October 1, 2011 to September 30, 2012. We find that the values reported in Compustat significantly differ from the values reported in 10-K filings. We also find that the amount and magnitude of the original data alterations introduced by Compustat depend on the type of the accounting item and company characteristics, such as industry and size.", "author" : [ { "dropping-particle" : "", "family" : "Chychyla", "given" : "Roman", "non-dropping-particle" : "", "parse-names" : false, "suffix" : "" }, { "dropping-particle" : "", "family" : "Kogan", "given" : "Alexander", "non-dropping-particle" : "", "parse-names" : false, "suffix" : "" } ], "container-title" : "Journal of Information Systems", "id" : "ITEM-2", "issue" : "1", "issued" : { "date-parts" : [ [ "2015" ] ] }, "page" : "37-72", "title" : "Using XBRL to Conduct a Large-Scale Study of Discrepancies between the Accounting Numbers in Compustat and SEC 10-K Filings", "type" : "article-journal", "volume" : "29" }, "uris" : [ "http://www.mendeley.com/documents/?uuid=b1a73be2-fda4-478c-9d59-f4f0802a1b89" ] } ], "mendeley" : { "formattedCitation" : "(Chychyla &amp; Kogan, 2015; Williams, 2015)", "plainTextFormattedCitation" : "(Chychyla &amp; Kogan, 2015; Williams, 2015)", "previouslyFormattedCitation" : "(Chychyla &amp; Kogan, 2015; Williams, 2015)" }, "properties" : {  }, "schema" : "https://github.com/citation-style-language/schema/raw/master/csl-citation.json" }</w:instrText>
      </w:r>
      <w:r w:rsidR="003319F8">
        <w:rPr>
          <w:rFonts w:asciiTheme="majorBidi" w:hAnsiTheme="majorBidi" w:cstheme="majorBidi"/>
          <w:sz w:val="21"/>
          <w:szCs w:val="21"/>
        </w:rPr>
        <w:fldChar w:fldCharType="separate"/>
      </w:r>
      <w:r w:rsidR="003319F8" w:rsidRPr="003319F8">
        <w:rPr>
          <w:rFonts w:asciiTheme="majorBidi" w:hAnsiTheme="majorBidi" w:cstheme="majorBidi"/>
          <w:noProof/>
          <w:sz w:val="21"/>
          <w:szCs w:val="21"/>
        </w:rPr>
        <w:t>(Chychyla &amp; Kogan, 2015; Williams, 2015)</w:t>
      </w:r>
      <w:r w:rsidR="003319F8">
        <w:rPr>
          <w:rFonts w:asciiTheme="majorBidi" w:hAnsiTheme="majorBidi" w:cstheme="majorBidi"/>
          <w:sz w:val="21"/>
          <w:szCs w:val="21"/>
        </w:rPr>
        <w:fldChar w:fldCharType="end"/>
      </w:r>
      <w:r w:rsidR="003319F8">
        <w:rPr>
          <w:rFonts w:asciiTheme="majorBidi" w:hAnsiTheme="majorBidi" w:cstheme="majorBidi"/>
          <w:sz w:val="21"/>
          <w:szCs w:val="21"/>
        </w:rPr>
        <w:t xml:space="preserve">. </w:t>
      </w:r>
      <w:r w:rsidR="00B8616F" w:rsidRPr="001B2E24">
        <w:rPr>
          <w:rFonts w:asciiTheme="majorBidi" w:hAnsiTheme="majorBidi" w:cstheme="majorBidi"/>
          <w:sz w:val="21"/>
          <w:szCs w:val="21"/>
        </w:rPr>
        <w:t>A</w:t>
      </w:r>
      <w:r w:rsidRPr="001B2E24">
        <w:rPr>
          <w:rFonts w:asciiTheme="majorBidi" w:hAnsiTheme="majorBidi" w:cstheme="majorBidi"/>
          <w:sz w:val="21"/>
          <w:szCs w:val="21"/>
        </w:rPr>
        <w:t xml:space="preserve">n accounting element may not </w:t>
      </w:r>
      <w:r w:rsidR="00B8616F" w:rsidRPr="001B2E24">
        <w:rPr>
          <w:rFonts w:asciiTheme="majorBidi" w:hAnsiTheme="majorBidi" w:cstheme="majorBidi"/>
          <w:sz w:val="21"/>
          <w:szCs w:val="21"/>
        </w:rPr>
        <w:t xml:space="preserve">be </w:t>
      </w:r>
      <w:r w:rsidRPr="001B2E24">
        <w:rPr>
          <w:rFonts w:asciiTheme="majorBidi" w:hAnsiTheme="majorBidi" w:cstheme="majorBidi"/>
          <w:sz w:val="21"/>
          <w:szCs w:val="21"/>
        </w:rPr>
        <w:t>extractable from</w:t>
      </w:r>
      <w:r w:rsidR="00B8616F" w:rsidRPr="001B2E24">
        <w:rPr>
          <w:rFonts w:asciiTheme="majorBidi" w:hAnsiTheme="majorBidi" w:cstheme="majorBidi"/>
          <w:sz w:val="21"/>
          <w:szCs w:val="21"/>
        </w:rPr>
        <w:t xml:space="preserve"> </w:t>
      </w:r>
      <w:r w:rsidRPr="001B2E24">
        <w:rPr>
          <w:rFonts w:asciiTheme="majorBidi" w:hAnsiTheme="majorBidi" w:cstheme="majorBidi"/>
          <w:sz w:val="21"/>
          <w:szCs w:val="21"/>
        </w:rPr>
        <w:t xml:space="preserve">an XBRL company filing </w:t>
      </w:r>
      <w:r w:rsidR="00B8616F" w:rsidRPr="001B2E24">
        <w:rPr>
          <w:rFonts w:asciiTheme="majorBidi" w:hAnsiTheme="majorBidi" w:cstheme="majorBidi"/>
          <w:sz w:val="21"/>
          <w:szCs w:val="21"/>
        </w:rPr>
        <w:t>due to several reasons, among them:</w:t>
      </w:r>
      <w:r w:rsidRPr="001B2E24">
        <w:rPr>
          <w:rFonts w:asciiTheme="majorBidi" w:hAnsiTheme="majorBidi" w:cstheme="majorBidi"/>
          <w:sz w:val="21"/>
          <w:szCs w:val="21"/>
        </w:rPr>
        <w:t xml:space="preserve"> the preparer erroneously did not tag the accounting</w:t>
      </w:r>
      <w:r w:rsidR="00B8616F" w:rsidRPr="001B2E24">
        <w:rPr>
          <w:rFonts w:asciiTheme="majorBidi" w:hAnsiTheme="majorBidi" w:cstheme="majorBidi"/>
          <w:sz w:val="21"/>
          <w:szCs w:val="21"/>
        </w:rPr>
        <w:t xml:space="preserve"> </w:t>
      </w:r>
      <w:r w:rsidRPr="001B2E24">
        <w:rPr>
          <w:rFonts w:asciiTheme="majorBidi" w:hAnsiTheme="majorBidi" w:cstheme="majorBidi"/>
          <w:sz w:val="21"/>
          <w:szCs w:val="21"/>
        </w:rPr>
        <w:t>element, the preparer used the wrong tag for an accounting element, or the SEC’s</w:t>
      </w:r>
      <w:r w:rsidR="00B8616F" w:rsidRPr="001B2E24">
        <w:rPr>
          <w:rFonts w:asciiTheme="majorBidi" w:hAnsiTheme="majorBidi" w:cstheme="majorBidi"/>
          <w:sz w:val="21"/>
          <w:szCs w:val="21"/>
        </w:rPr>
        <w:t xml:space="preserve"> </w:t>
      </w:r>
      <w:r w:rsidRPr="001B2E24">
        <w:rPr>
          <w:rFonts w:asciiTheme="majorBidi" w:hAnsiTheme="majorBidi" w:cstheme="majorBidi"/>
          <w:sz w:val="21"/>
          <w:szCs w:val="21"/>
        </w:rPr>
        <w:t>protocol for the preparation of XBRL company filings set forth in the EDGAR Filer</w:t>
      </w:r>
      <w:r w:rsidR="00B8616F" w:rsidRPr="001B2E24">
        <w:rPr>
          <w:rFonts w:asciiTheme="majorBidi" w:hAnsiTheme="majorBidi" w:cstheme="majorBidi"/>
          <w:sz w:val="21"/>
          <w:szCs w:val="21"/>
        </w:rPr>
        <w:t xml:space="preserve"> </w:t>
      </w:r>
      <w:r w:rsidRPr="001B2E24">
        <w:rPr>
          <w:rFonts w:asciiTheme="majorBidi" w:hAnsiTheme="majorBidi" w:cstheme="majorBidi"/>
          <w:sz w:val="21"/>
          <w:szCs w:val="21"/>
        </w:rPr>
        <w:t xml:space="preserve">Manual did not permit or require a tag. </w:t>
      </w:r>
    </w:p>
    <w:p w:rsidR="002566CE" w:rsidRPr="001B2E24" w:rsidRDefault="00670166"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To</w:t>
      </w:r>
      <w:r w:rsidR="00B01CA7" w:rsidRPr="001B2E24">
        <w:rPr>
          <w:rFonts w:asciiTheme="majorBidi" w:hAnsiTheme="majorBidi" w:cstheme="majorBidi"/>
          <w:sz w:val="21"/>
          <w:szCs w:val="21"/>
        </w:rPr>
        <w:t xml:space="preserve"> overcome this problem</w:t>
      </w:r>
      <w:r w:rsidRPr="001B2E24">
        <w:rPr>
          <w:rFonts w:asciiTheme="majorBidi" w:hAnsiTheme="majorBidi" w:cstheme="majorBidi"/>
          <w:sz w:val="21"/>
          <w:szCs w:val="21"/>
        </w:rPr>
        <w:t>,</w:t>
      </w:r>
      <w:r w:rsidR="00B01CA7" w:rsidRPr="001B2E24">
        <w:rPr>
          <w:rFonts w:asciiTheme="majorBidi" w:hAnsiTheme="majorBidi" w:cstheme="majorBidi"/>
          <w:sz w:val="21"/>
          <w:szCs w:val="21"/>
        </w:rPr>
        <w:t xml:space="preserve"> </w:t>
      </w:r>
      <w:r w:rsidR="002B37FA" w:rsidRPr="001B2E24">
        <w:rPr>
          <w:rFonts w:asciiTheme="majorBidi" w:hAnsiTheme="majorBidi" w:cstheme="majorBidi"/>
          <w:sz w:val="21"/>
          <w:szCs w:val="21"/>
        </w:rPr>
        <w:t>of complex incomplete data</w:t>
      </w:r>
      <w:r w:rsidR="002E1AF8" w:rsidRPr="001B2E24">
        <w:rPr>
          <w:rFonts w:asciiTheme="majorBidi" w:hAnsiTheme="majorBidi" w:cstheme="majorBidi"/>
          <w:sz w:val="21"/>
          <w:szCs w:val="21"/>
        </w:rPr>
        <w:t>,</w:t>
      </w:r>
      <w:r w:rsidR="002B37FA" w:rsidRPr="001B2E24">
        <w:rPr>
          <w:rFonts w:asciiTheme="majorBidi" w:hAnsiTheme="majorBidi" w:cstheme="majorBidi"/>
          <w:sz w:val="21"/>
          <w:szCs w:val="21"/>
        </w:rPr>
        <w:t xml:space="preserve"> multiple imputation is the best method</w:t>
      </w:r>
      <w:r w:rsidR="002E1AF8" w:rsidRPr="001B2E24">
        <w:rPr>
          <w:rFonts w:asciiTheme="majorBidi" w:hAnsiTheme="majorBidi" w:cstheme="majorBidi"/>
          <w:sz w:val="21"/>
          <w:szCs w:val="21"/>
        </w:rPr>
        <w:t xml:space="preserve"> to be employed</w:t>
      </w:r>
      <w:r w:rsidRPr="001B2E24">
        <w:rPr>
          <w:rFonts w:asciiTheme="majorBidi" w:hAnsiTheme="majorBidi" w:cstheme="majorBidi"/>
          <w:sz w:val="21"/>
          <w:szCs w:val="21"/>
        </w:rPr>
        <w:t xml:space="preserve"> </w:t>
      </w:r>
      <w:r w:rsidRPr="001B2E24">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"10.1080/01621459.1996.10476908", "ISBN" : "0162-1459", "ISSN" : "0162-1459", "PMID" : "17761650", "abstract" : "Abstract Multiple imputation was designed to handle the problem of missing data in public-use data bases where the data-base constructor and the ultimate user are distinct entities. The objective is valid frequency inference for ultimate users who in general have access only to complete-data software and possess limited knowledge of specific reasons and models for nonresponse. For this situation and objective, I believe that multiple imputation by the data-base constructor is the method of choice. This article first provides a description of the assumed context and objectives, and second, reviews the multiple imputation framework and its standard results. These preliminary discussions are especially important because some recent commentaries on multiple imputation have reflected either misunderstandings of the practical objectives of multiple imputation or misunderstandings of fundamental theoretical results. Then, criticisms of multiple imputation are considered, and, finally, comparisons are made to alt...", "author" : [ { "dropping-particle" : "", "family" : "Rubin", "given" : "Donald B.", "non-dropping-particle" : "", "parse-names" : false, "suffix" : "" } ], "container-title" : "Journal of the American Statistical Association", "id" : "ITEM-1", "issue" : "434", "issued" : { "date-parts" : [ [ "1996" ] ] }, "page" : "473-489", "title" : "Multiple Imputation after 18+ Years", "type" : "article", "volume" : "91" }, "uris" : [ "http://www.mendeley.com/documents/?uuid=0cd82129-4f09-4236-8507-c2ad42ec0c5e" ] } ], "mendeley" : { "formattedCitation" : "(Rubin, 1996)", "plainTextFormattedCitation" : "(Rubin, 1996)", "previouslyFormattedCitation" : "(Rubin, 1996)" }, "properties" : {  }, "schema" : "https://github.com/citation-style-language/schema/raw/master/csl-citation.json" }</w:instrText>
      </w:r>
      <w:r w:rsidRPr="001B2E24">
        <w:rPr>
          <w:rFonts w:asciiTheme="majorBidi" w:hAnsiTheme="majorBidi" w:cstheme="majorBidi"/>
          <w:sz w:val="21"/>
          <w:szCs w:val="21"/>
        </w:rPr>
        <w:fldChar w:fldCharType="separate"/>
      </w:r>
      <w:r w:rsidRPr="001B2E24">
        <w:rPr>
          <w:rFonts w:asciiTheme="majorBidi" w:hAnsiTheme="majorBidi" w:cstheme="majorBidi"/>
          <w:noProof/>
          <w:sz w:val="21"/>
          <w:szCs w:val="21"/>
        </w:rPr>
        <w:t>(Rubin, 1996)</w:t>
      </w:r>
      <w:r w:rsidRPr="001B2E24">
        <w:rPr>
          <w:rFonts w:asciiTheme="majorBidi" w:hAnsiTheme="majorBidi" w:cstheme="majorBidi"/>
          <w:sz w:val="21"/>
          <w:szCs w:val="21"/>
        </w:rPr>
        <w:fldChar w:fldCharType="end"/>
      </w:r>
      <w:r w:rsidR="002B37FA" w:rsidRPr="001B2E24">
        <w:rPr>
          <w:rFonts w:asciiTheme="majorBidi" w:hAnsiTheme="majorBidi" w:cstheme="majorBidi"/>
          <w:sz w:val="21"/>
          <w:szCs w:val="21"/>
        </w:rPr>
        <w:t xml:space="preserve">. </w:t>
      </w:r>
      <w:r w:rsidR="009F7468" w:rsidRPr="001B2E24">
        <w:rPr>
          <w:rFonts w:asciiTheme="majorBidi" w:hAnsiTheme="majorBidi" w:cstheme="majorBidi"/>
          <w:sz w:val="21"/>
          <w:szCs w:val="21"/>
        </w:rPr>
        <w:t xml:space="preserve">There are several approaches for imputing multivariate data, Multivariate Imputation by Chained Equations (MICE) </w:t>
      </w:r>
      <w:proofErr w:type="gramStart"/>
      <w:r w:rsidR="009F7468" w:rsidRPr="001B2E24">
        <w:rPr>
          <w:rFonts w:asciiTheme="majorBidi" w:hAnsiTheme="majorBidi" w:cstheme="majorBidi"/>
          <w:sz w:val="21"/>
          <w:szCs w:val="21"/>
        </w:rPr>
        <w:t>is considered to be</w:t>
      </w:r>
      <w:proofErr w:type="gramEnd"/>
      <w:r w:rsidR="009F7468" w:rsidRPr="001B2E24">
        <w:rPr>
          <w:rFonts w:asciiTheme="majorBidi" w:hAnsiTheme="majorBidi" w:cstheme="majorBidi"/>
          <w:sz w:val="21"/>
          <w:szCs w:val="21"/>
        </w:rPr>
        <w:t xml:space="preserve"> a better alternative in cases where no suitable multivariate distribution can be found. MICE </w:t>
      </w:r>
      <w:proofErr w:type="gramStart"/>
      <w:r w:rsidR="009F7468" w:rsidRPr="001B2E24">
        <w:rPr>
          <w:rFonts w:asciiTheme="majorBidi" w:hAnsiTheme="majorBidi" w:cstheme="majorBidi"/>
          <w:sz w:val="21"/>
          <w:szCs w:val="21"/>
        </w:rPr>
        <w:t>specifies</w:t>
      </w:r>
      <w:proofErr w:type="gramEnd"/>
      <w:r w:rsidR="009F7468" w:rsidRPr="001B2E24">
        <w:rPr>
          <w:rFonts w:asciiTheme="majorBidi" w:hAnsiTheme="majorBidi" w:cstheme="majorBidi"/>
          <w:sz w:val="21"/>
          <w:szCs w:val="21"/>
        </w:rPr>
        <w:t xml:space="preserve"> the multivariate imputation model on a variable-by-variable basis by a set of conditional </w:t>
      </w:r>
      <w:r w:rsidR="003319F8" w:rsidRPr="001B2E24">
        <w:rPr>
          <w:rFonts w:asciiTheme="majorBidi" w:hAnsiTheme="majorBidi" w:cstheme="majorBidi"/>
          <w:sz w:val="21"/>
          <w:szCs w:val="21"/>
        </w:rPr>
        <w:t>densities</w:t>
      </w:r>
      <w:r w:rsidR="009F7468" w:rsidRPr="001B2E24">
        <w:rPr>
          <w:rFonts w:asciiTheme="majorBidi" w:hAnsiTheme="majorBidi" w:cstheme="majorBidi"/>
          <w:sz w:val="21"/>
          <w:szCs w:val="21"/>
        </w:rPr>
        <w:t xml:space="preserve">, one for each incomplete variable. Starting from an initial imputation, MICE draws imputations by iterating </w:t>
      </w:r>
      <w:r w:rsidR="00C141BA" w:rsidRPr="001B2E24">
        <w:rPr>
          <w:rFonts w:asciiTheme="majorBidi" w:hAnsiTheme="majorBidi" w:cstheme="majorBidi"/>
          <w:sz w:val="21"/>
          <w:szCs w:val="21"/>
        </w:rPr>
        <w:t>o</w:t>
      </w:r>
      <w:r w:rsidR="009F7468" w:rsidRPr="001B2E24">
        <w:rPr>
          <w:rFonts w:asciiTheme="majorBidi" w:hAnsiTheme="majorBidi" w:cstheme="majorBidi"/>
          <w:sz w:val="21"/>
          <w:szCs w:val="21"/>
        </w:rPr>
        <w:t xml:space="preserve">ver the conditional densities. </w:t>
      </w:r>
    </w:p>
    <w:p w:rsidR="00C141BA" w:rsidRPr="001B2E24" w:rsidRDefault="00C141BA" w:rsidP="001B2E24">
      <w:pPr>
        <w:spacing w:after="0"/>
        <w:ind w:left="0" w:firstLineChars="200" w:firstLine="420"/>
        <w:rPr>
          <w:rFonts w:asciiTheme="majorBidi" w:hAnsiTheme="majorBidi" w:cstheme="majorBidi"/>
          <w:sz w:val="21"/>
          <w:szCs w:val="21"/>
        </w:rPr>
      </w:pPr>
      <w:proofErr w:type="gramStart"/>
      <w:r w:rsidRPr="001B2E24">
        <w:rPr>
          <w:rFonts w:asciiTheme="majorBidi" w:hAnsiTheme="majorBidi" w:cstheme="majorBidi"/>
          <w:sz w:val="21"/>
          <w:szCs w:val="21"/>
        </w:rPr>
        <w:t>For the purpose of</w:t>
      </w:r>
      <w:proofErr w:type="gramEnd"/>
      <w:r w:rsidRPr="001B2E24">
        <w:rPr>
          <w:rFonts w:asciiTheme="majorBidi" w:hAnsiTheme="majorBidi" w:cstheme="majorBidi"/>
          <w:sz w:val="21"/>
          <w:szCs w:val="21"/>
        </w:rPr>
        <w:t xml:space="preserve"> this study the package of MICE in R was implemented, while the package provides five iterations for implementation, only the first one was used for the current analysis.</w:t>
      </w:r>
    </w:p>
    <w:p w:rsidR="005C3952" w:rsidRPr="001B2E24" w:rsidRDefault="00CE7C39"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Table 4 presents changes from the original data (data) to that of the data with imputation (full data).</w:t>
      </w:r>
      <w:r w:rsidR="00F44C74" w:rsidRPr="001B2E24">
        <w:rPr>
          <w:rFonts w:asciiTheme="majorBidi" w:hAnsiTheme="majorBidi" w:cstheme="majorBidi"/>
          <w:sz w:val="21"/>
          <w:szCs w:val="21"/>
        </w:rPr>
        <w:t xml:space="preserve"> The number of observations increased by about 10%, however this small change allowed for the most important change, and that is the number of companies that are </w:t>
      </w:r>
      <w:r w:rsidR="00EA189E" w:rsidRPr="001B2E24">
        <w:rPr>
          <w:rFonts w:asciiTheme="majorBidi" w:hAnsiTheme="majorBidi" w:cstheme="majorBidi"/>
          <w:sz w:val="21"/>
          <w:szCs w:val="21"/>
        </w:rPr>
        <w:t xml:space="preserve">were utilized by </w:t>
      </w:r>
      <w:r w:rsidR="00F44C74" w:rsidRPr="001B2E24">
        <w:rPr>
          <w:rFonts w:asciiTheme="majorBidi" w:hAnsiTheme="majorBidi" w:cstheme="majorBidi"/>
          <w:sz w:val="21"/>
          <w:szCs w:val="21"/>
        </w:rPr>
        <w:t>the model</w:t>
      </w:r>
      <w:r w:rsidR="00EA189E" w:rsidRPr="001B2E24">
        <w:rPr>
          <w:rFonts w:asciiTheme="majorBidi" w:hAnsiTheme="majorBidi" w:cstheme="majorBidi"/>
          <w:sz w:val="21"/>
          <w:szCs w:val="21"/>
        </w:rPr>
        <w:t>s</w:t>
      </w:r>
      <w:r w:rsidR="00F44C74" w:rsidRPr="001B2E24">
        <w:rPr>
          <w:rFonts w:asciiTheme="majorBidi" w:hAnsiTheme="majorBidi" w:cstheme="majorBidi"/>
          <w:sz w:val="21"/>
          <w:szCs w:val="21"/>
        </w:rPr>
        <w:t xml:space="preserve">, which increased by an average of 144%. This means that more than twice as many companies may be examined by the models and </w:t>
      </w:r>
      <w:r w:rsidR="008F4EB2" w:rsidRPr="001B2E24">
        <w:rPr>
          <w:rFonts w:asciiTheme="majorBidi" w:hAnsiTheme="majorBidi" w:cstheme="majorBidi"/>
          <w:sz w:val="21"/>
          <w:szCs w:val="21"/>
        </w:rPr>
        <w:t>used in the classification for prediction purposes.</w:t>
      </w:r>
    </w:p>
    <w:p w:rsidR="00BE5689" w:rsidRPr="00254D61" w:rsidRDefault="00F44C74" w:rsidP="00530BF5">
      <w:pPr>
        <w:jc w:val="center"/>
        <w:rPr>
          <w:rFonts w:asciiTheme="majorBidi" w:hAnsiTheme="majorBidi" w:cstheme="majorBidi"/>
          <w:b/>
          <w:bCs/>
          <w:sz w:val="20"/>
          <w:szCs w:val="20"/>
        </w:rPr>
      </w:pPr>
      <w:r w:rsidRPr="00254D61">
        <w:rPr>
          <w:rFonts w:asciiTheme="majorBidi" w:hAnsiTheme="majorBidi" w:cstheme="majorBidi"/>
          <w:b/>
          <w:bCs/>
          <w:sz w:val="20"/>
          <w:szCs w:val="20"/>
        </w:rPr>
        <w:t>T</w:t>
      </w:r>
      <w:r w:rsidR="00BE5689" w:rsidRPr="00254D61">
        <w:rPr>
          <w:rFonts w:asciiTheme="majorBidi" w:hAnsiTheme="majorBidi" w:cstheme="majorBidi"/>
          <w:b/>
          <w:bCs/>
          <w:sz w:val="20"/>
          <w:szCs w:val="20"/>
        </w:rPr>
        <w:t>able 4</w:t>
      </w:r>
      <w:r w:rsidRPr="00254D61">
        <w:rPr>
          <w:rFonts w:asciiTheme="majorBidi" w:hAnsiTheme="majorBidi" w:cstheme="majorBidi"/>
          <w:b/>
          <w:bCs/>
          <w:sz w:val="20"/>
          <w:szCs w:val="20"/>
        </w:rPr>
        <w:t xml:space="preserve"> – Changes in Data due to Imputation</w:t>
      </w:r>
    </w:p>
    <w:tbl>
      <w:tblPr>
        <w:tblStyle w:val="ac"/>
        <w:tblW w:w="11070" w:type="dxa"/>
        <w:tblInd w:w="-651" w:type="dxa"/>
        <w:tblLayout w:type="fixed"/>
        <w:tblLook w:val="04A0" w:firstRow="1" w:lastRow="0" w:firstColumn="1" w:lastColumn="0" w:noHBand="0" w:noVBand="1"/>
      </w:tblPr>
      <w:tblGrid>
        <w:gridCol w:w="1332"/>
        <w:gridCol w:w="23"/>
        <w:gridCol w:w="908"/>
        <w:gridCol w:w="1151"/>
        <w:gridCol w:w="67"/>
        <w:gridCol w:w="864"/>
        <w:gridCol w:w="1151"/>
        <w:gridCol w:w="28"/>
        <w:gridCol w:w="903"/>
        <w:gridCol w:w="1151"/>
        <w:gridCol w:w="14"/>
        <w:gridCol w:w="917"/>
        <w:gridCol w:w="1151"/>
        <w:gridCol w:w="32"/>
        <w:gridCol w:w="227"/>
        <w:gridCol w:w="9"/>
        <w:gridCol w:w="1142"/>
      </w:tblGrid>
      <w:tr w:rsidR="00267542" w:rsidRPr="001B2E24" w:rsidTr="00267542">
        <w:trPr>
          <w:trHeight w:val="624"/>
        </w:trPr>
        <w:tc>
          <w:tcPr>
            <w:tcW w:w="1355" w:type="dxa"/>
            <w:gridSpan w:val="2"/>
            <w:vAlign w:val="bottom"/>
          </w:tcPr>
          <w:p w:rsidR="00BE5689" w:rsidRPr="001B2E24" w:rsidRDefault="00BE5689" w:rsidP="00185AE4">
            <w:pPr>
              <w:spacing w:after="0" w:line="240" w:lineRule="auto"/>
              <w:ind w:left="0"/>
              <w:rPr>
                <w:rFonts w:asciiTheme="majorBidi" w:hAnsiTheme="majorBidi" w:cstheme="majorBidi"/>
                <w:sz w:val="20"/>
                <w:szCs w:val="20"/>
              </w:rPr>
            </w:pPr>
          </w:p>
          <w:p w:rsidR="00BE5689" w:rsidRPr="001B2E24" w:rsidRDefault="00BE5689" w:rsidP="00185AE4">
            <w:pPr>
              <w:spacing w:after="0" w:line="240" w:lineRule="auto"/>
              <w:ind w:left="0"/>
              <w:rPr>
                <w:rFonts w:asciiTheme="majorBidi" w:hAnsiTheme="majorBidi" w:cstheme="majorBidi"/>
                <w:sz w:val="20"/>
                <w:szCs w:val="20"/>
              </w:rPr>
            </w:pPr>
          </w:p>
        </w:tc>
        <w:tc>
          <w:tcPr>
            <w:tcW w:w="2126" w:type="dxa"/>
            <w:gridSpan w:val="3"/>
            <w:vAlign w:val="center"/>
          </w:tcPr>
          <w:p w:rsidR="00BE5689" w:rsidRPr="001B2E24" w:rsidRDefault="00BE5689"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Q3/ 2015</w:t>
            </w:r>
          </w:p>
        </w:tc>
        <w:tc>
          <w:tcPr>
            <w:tcW w:w="2043" w:type="dxa"/>
            <w:gridSpan w:val="3"/>
            <w:vAlign w:val="center"/>
          </w:tcPr>
          <w:p w:rsidR="00BE5689" w:rsidRPr="001B2E24" w:rsidRDefault="00BE5689"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Q4/ 2015</w:t>
            </w:r>
          </w:p>
        </w:tc>
        <w:tc>
          <w:tcPr>
            <w:tcW w:w="2068" w:type="dxa"/>
            <w:gridSpan w:val="3"/>
            <w:vAlign w:val="center"/>
          </w:tcPr>
          <w:p w:rsidR="00BE5689" w:rsidRPr="001B2E24" w:rsidRDefault="00BE5689"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Q1/ 2016</w:t>
            </w:r>
          </w:p>
        </w:tc>
        <w:tc>
          <w:tcPr>
            <w:tcW w:w="2100" w:type="dxa"/>
            <w:gridSpan w:val="3"/>
            <w:vAlign w:val="center"/>
          </w:tcPr>
          <w:p w:rsidR="00BE5689" w:rsidRPr="001B2E24" w:rsidRDefault="00BE5689"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Q2/ 2016</w:t>
            </w:r>
          </w:p>
        </w:tc>
        <w:tc>
          <w:tcPr>
            <w:tcW w:w="236" w:type="dxa"/>
            <w:gridSpan w:val="2"/>
            <w:vAlign w:val="center"/>
          </w:tcPr>
          <w:p w:rsidR="00BE5689" w:rsidRPr="001B2E24" w:rsidRDefault="00BE5689" w:rsidP="00185AE4">
            <w:pPr>
              <w:spacing w:after="0" w:line="240" w:lineRule="auto"/>
              <w:ind w:left="0"/>
              <w:jc w:val="center"/>
              <w:rPr>
                <w:rFonts w:asciiTheme="majorBidi" w:hAnsiTheme="majorBidi" w:cstheme="majorBidi"/>
                <w:color w:val="000000"/>
                <w:sz w:val="20"/>
                <w:szCs w:val="20"/>
              </w:rPr>
            </w:pPr>
          </w:p>
        </w:tc>
        <w:tc>
          <w:tcPr>
            <w:tcW w:w="1066" w:type="dxa"/>
            <w:vAlign w:val="center"/>
          </w:tcPr>
          <w:p w:rsidR="00BE5689" w:rsidRPr="001B2E24" w:rsidRDefault="00BE5689"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Average</w:t>
            </w:r>
          </w:p>
        </w:tc>
      </w:tr>
      <w:tr w:rsidR="00EA189E" w:rsidRPr="001B2E24" w:rsidTr="00267542">
        <w:tc>
          <w:tcPr>
            <w:tcW w:w="1332" w:type="dxa"/>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p>
        </w:tc>
        <w:tc>
          <w:tcPr>
            <w:tcW w:w="931" w:type="dxa"/>
            <w:gridSpan w:val="2"/>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Data</w:t>
            </w:r>
          </w:p>
        </w:tc>
        <w:tc>
          <w:tcPr>
            <w:tcW w:w="1151" w:type="dxa"/>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Full Data</w:t>
            </w:r>
          </w:p>
        </w:tc>
        <w:tc>
          <w:tcPr>
            <w:tcW w:w="931" w:type="dxa"/>
            <w:gridSpan w:val="2"/>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Data</w:t>
            </w:r>
          </w:p>
        </w:tc>
        <w:tc>
          <w:tcPr>
            <w:tcW w:w="1151" w:type="dxa"/>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Full Data</w:t>
            </w:r>
          </w:p>
        </w:tc>
        <w:tc>
          <w:tcPr>
            <w:tcW w:w="931" w:type="dxa"/>
            <w:gridSpan w:val="2"/>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Data</w:t>
            </w:r>
          </w:p>
        </w:tc>
        <w:tc>
          <w:tcPr>
            <w:tcW w:w="1151" w:type="dxa"/>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Full Data</w:t>
            </w:r>
          </w:p>
        </w:tc>
        <w:tc>
          <w:tcPr>
            <w:tcW w:w="931" w:type="dxa"/>
            <w:gridSpan w:val="2"/>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Data</w:t>
            </w:r>
          </w:p>
        </w:tc>
        <w:tc>
          <w:tcPr>
            <w:tcW w:w="1151" w:type="dxa"/>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Full Data</w:t>
            </w:r>
          </w:p>
        </w:tc>
        <w:tc>
          <w:tcPr>
            <w:tcW w:w="259" w:type="dxa"/>
            <w:gridSpan w:val="2"/>
            <w:vAlign w:val="bottom"/>
          </w:tcPr>
          <w:p w:rsidR="00BE5689" w:rsidRPr="001B2E24" w:rsidRDefault="00BE5689" w:rsidP="00185AE4">
            <w:pPr>
              <w:spacing w:after="0" w:line="240" w:lineRule="auto"/>
              <w:ind w:left="0"/>
              <w:rPr>
                <w:rFonts w:asciiTheme="majorBidi" w:hAnsiTheme="majorBidi" w:cstheme="majorBidi"/>
                <w:color w:val="000000"/>
                <w:sz w:val="20"/>
                <w:szCs w:val="20"/>
              </w:rPr>
            </w:pPr>
          </w:p>
        </w:tc>
        <w:tc>
          <w:tcPr>
            <w:tcW w:w="1151" w:type="dxa"/>
            <w:gridSpan w:val="2"/>
            <w:vAlign w:val="bottom"/>
          </w:tcPr>
          <w:p w:rsidR="00BE5689" w:rsidRPr="001B2E24" w:rsidRDefault="00BE5689" w:rsidP="00185AE4">
            <w:pPr>
              <w:spacing w:after="0" w:line="240" w:lineRule="auto"/>
              <w:ind w:left="0"/>
              <w:rPr>
                <w:rFonts w:asciiTheme="majorBidi" w:hAnsiTheme="majorBidi" w:cstheme="majorBidi"/>
                <w:sz w:val="20"/>
                <w:szCs w:val="20"/>
              </w:rPr>
            </w:pPr>
          </w:p>
        </w:tc>
      </w:tr>
      <w:tr w:rsidR="00EA189E" w:rsidRPr="001B2E24" w:rsidTr="00267542">
        <w:tc>
          <w:tcPr>
            <w:tcW w:w="1332" w:type="dxa"/>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931" w:type="dxa"/>
            <w:gridSpan w:val="2"/>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1151" w:type="dxa"/>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931" w:type="dxa"/>
            <w:gridSpan w:val="2"/>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1151" w:type="dxa"/>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931" w:type="dxa"/>
            <w:gridSpan w:val="2"/>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1151" w:type="dxa"/>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931" w:type="dxa"/>
            <w:gridSpan w:val="2"/>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1151" w:type="dxa"/>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259" w:type="dxa"/>
            <w:gridSpan w:val="2"/>
            <w:vAlign w:val="bottom"/>
          </w:tcPr>
          <w:p w:rsidR="00BE5689" w:rsidRPr="001B2E24" w:rsidRDefault="00BE5689" w:rsidP="00185AE4">
            <w:pPr>
              <w:spacing w:after="0" w:line="240" w:lineRule="auto"/>
              <w:ind w:left="0"/>
              <w:rPr>
                <w:rFonts w:asciiTheme="majorBidi" w:hAnsiTheme="majorBidi" w:cstheme="majorBidi"/>
                <w:sz w:val="20"/>
                <w:szCs w:val="20"/>
              </w:rPr>
            </w:pPr>
          </w:p>
        </w:tc>
        <w:tc>
          <w:tcPr>
            <w:tcW w:w="1151" w:type="dxa"/>
            <w:gridSpan w:val="2"/>
            <w:vAlign w:val="bottom"/>
          </w:tcPr>
          <w:p w:rsidR="00BE5689" w:rsidRPr="001B2E24" w:rsidRDefault="00BE5689" w:rsidP="00185AE4">
            <w:pPr>
              <w:spacing w:after="0" w:line="240" w:lineRule="auto"/>
              <w:ind w:left="0"/>
              <w:rPr>
                <w:rFonts w:asciiTheme="majorBidi" w:hAnsiTheme="majorBidi" w:cstheme="majorBidi"/>
                <w:sz w:val="20"/>
                <w:szCs w:val="20"/>
              </w:rPr>
            </w:pPr>
          </w:p>
        </w:tc>
      </w:tr>
      <w:tr w:rsidR="00EA189E" w:rsidRPr="001B2E24" w:rsidTr="00267542">
        <w:tc>
          <w:tcPr>
            <w:tcW w:w="1332" w:type="dxa"/>
            <w:vAlign w:val="bottom"/>
          </w:tcPr>
          <w:p w:rsidR="0003623C" w:rsidRPr="001B2E24" w:rsidRDefault="0003623C"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total observations</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23,403</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25,895</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23,631</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26,160</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23,760</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26,329</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23,917</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26,537</w:t>
            </w: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r>
      <w:tr w:rsidR="00EA189E" w:rsidRPr="001B2E24" w:rsidTr="00267542">
        <w:tc>
          <w:tcPr>
            <w:tcW w:w="1332" w:type="dxa"/>
            <w:vAlign w:val="bottom"/>
          </w:tcPr>
          <w:p w:rsidR="0003623C" w:rsidRPr="001B2E24" w:rsidRDefault="0003623C" w:rsidP="00185AE4">
            <w:pPr>
              <w:spacing w:after="0" w:line="240" w:lineRule="auto"/>
              <w:ind w:left="0"/>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change</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10.65%</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10.70%</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10.81%</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10.96%</w:t>
            </w: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10.78%</w:t>
            </w:r>
          </w:p>
        </w:tc>
      </w:tr>
      <w:tr w:rsidR="00EA189E" w:rsidRPr="001B2E24" w:rsidTr="00267542">
        <w:tc>
          <w:tcPr>
            <w:tcW w:w="1332" w:type="dxa"/>
            <w:vAlign w:val="bottom"/>
          </w:tcPr>
          <w:p w:rsidR="0003623C" w:rsidRPr="001B2E24" w:rsidRDefault="0003623C" w:rsidP="00185AE4">
            <w:pPr>
              <w:spacing w:after="0" w:line="240" w:lineRule="auto"/>
              <w:ind w:left="0"/>
              <w:jc w:val="right"/>
              <w:rPr>
                <w:rFonts w:asciiTheme="majorBidi" w:hAnsiTheme="majorBidi" w:cstheme="majorBidi"/>
                <w:b/>
                <w:bCs/>
                <w:color w:val="FF0000"/>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r>
      <w:tr w:rsidR="00EA189E" w:rsidRPr="001B2E24" w:rsidTr="00267542">
        <w:tc>
          <w:tcPr>
            <w:tcW w:w="1332" w:type="dxa"/>
            <w:vAlign w:val="bottom"/>
          </w:tcPr>
          <w:p w:rsidR="0003623C" w:rsidRPr="001B2E24" w:rsidRDefault="0003623C"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observations in final model</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9,011</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25,895</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12,611</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26,160</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11,300</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26,329</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9,779</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26,537</w:t>
            </w: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r>
      <w:tr w:rsidR="00EA189E" w:rsidRPr="001B2E24" w:rsidTr="00267542">
        <w:tc>
          <w:tcPr>
            <w:tcW w:w="1332" w:type="dxa"/>
            <w:vAlign w:val="bottom"/>
          </w:tcPr>
          <w:p w:rsidR="0003623C" w:rsidRPr="001B2E24" w:rsidRDefault="0003623C" w:rsidP="00185AE4">
            <w:pPr>
              <w:spacing w:after="0" w:line="240" w:lineRule="auto"/>
              <w:ind w:left="0"/>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change</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187.37%</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107.44%</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133.00%</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171.37%</w:t>
            </w: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149.79%</w:t>
            </w:r>
          </w:p>
        </w:tc>
      </w:tr>
      <w:tr w:rsidR="00EA189E" w:rsidRPr="001B2E24" w:rsidTr="00267542">
        <w:tc>
          <w:tcPr>
            <w:tcW w:w="1332" w:type="dxa"/>
            <w:vAlign w:val="bottom"/>
          </w:tcPr>
          <w:p w:rsidR="0003623C" w:rsidRPr="001B2E24" w:rsidRDefault="0003623C" w:rsidP="00185AE4">
            <w:pPr>
              <w:spacing w:after="0" w:line="240" w:lineRule="auto"/>
              <w:ind w:left="0"/>
              <w:jc w:val="right"/>
              <w:rPr>
                <w:rFonts w:asciiTheme="majorBidi" w:hAnsiTheme="majorBidi" w:cstheme="majorBidi"/>
                <w:b/>
                <w:bCs/>
                <w:color w:val="FF0000"/>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r>
      <w:tr w:rsidR="00EA189E" w:rsidRPr="001B2E24" w:rsidTr="00267542">
        <w:tc>
          <w:tcPr>
            <w:tcW w:w="1332" w:type="dxa"/>
            <w:vAlign w:val="bottom"/>
          </w:tcPr>
          <w:p w:rsidR="0003623C" w:rsidRPr="001B2E24" w:rsidRDefault="0003623C" w:rsidP="00185AE4">
            <w:pPr>
              <w:spacing w:after="0" w:line="240" w:lineRule="auto"/>
              <w:ind w:left="0"/>
              <w:rPr>
                <w:rFonts w:asciiTheme="majorBidi" w:hAnsiTheme="majorBidi" w:cstheme="majorBidi"/>
                <w:color w:val="000000"/>
                <w:sz w:val="20"/>
                <w:szCs w:val="20"/>
              </w:rPr>
            </w:pPr>
            <w:r w:rsidRPr="001B2E24">
              <w:rPr>
                <w:rFonts w:asciiTheme="majorBidi" w:hAnsiTheme="majorBidi" w:cstheme="majorBidi"/>
                <w:color w:val="000000"/>
                <w:sz w:val="20"/>
                <w:szCs w:val="20"/>
              </w:rPr>
              <w:t># variables in model</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15</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13</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9</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14</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10</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18</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13</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18</w:t>
            </w: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r>
      <w:tr w:rsidR="00EA189E" w:rsidRPr="001B2E24" w:rsidTr="00267542">
        <w:tc>
          <w:tcPr>
            <w:tcW w:w="1332" w:type="dxa"/>
            <w:vAlign w:val="bottom"/>
          </w:tcPr>
          <w:p w:rsidR="0003623C" w:rsidRPr="001B2E24" w:rsidRDefault="0003623C" w:rsidP="00185AE4">
            <w:pPr>
              <w:spacing w:after="0" w:line="240" w:lineRule="auto"/>
              <w:ind w:left="0"/>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change</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-13.33%</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55.56%</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80.00%</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38.46%</w:t>
            </w: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40.17%</w:t>
            </w:r>
          </w:p>
        </w:tc>
      </w:tr>
      <w:tr w:rsidR="00EA189E" w:rsidRPr="001B2E24" w:rsidTr="00267542">
        <w:tc>
          <w:tcPr>
            <w:tcW w:w="1332" w:type="dxa"/>
            <w:vAlign w:val="bottom"/>
          </w:tcPr>
          <w:p w:rsidR="0003623C" w:rsidRPr="001B2E24" w:rsidRDefault="0003623C" w:rsidP="00185AE4">
            <w:pPr>
              <w:spacing w:after="0" w:line="240" w:lineRule="auto"/>
              <w:ind w:left="0"/>
              <w:rPr>
                <w:rFonts w:asciiTheme="majorBidi" w:hAnsiTheme="majorBidi" w:cstheme="majorBidi"/>
                <w:b/>
                <w:bCs/>
                <w:color w:val="FF0000"/>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r>
      <w:tr w:rsidR="00EA189E" w:rsidRPr="001B2E24" w:rsidTr="00267542">
        <w:tc>
          <w:tcPr>
            <w:tcW w:w="1332" w:type="dxa"/>
            <w:vAlign w:val="bottom"/>
          </w:tcPr>
          <w:p w:rsidR="0003623C" w:rsidRPr="001B2E24" w:rsidRDefault="0003623C" w:rsidP="00185AE4">
            <w:pPr>
              <w:spacing w:after="0" w:line="240" w:lineRule="auto"/>
              <w:ind w:left="0"/>
              <w:rPr>
                <w:rFonts w:asciiTheme="majorBidi" w:hAnsiTheme="majorBidi" w:cstheme="majorBidi"/>
                <w:sz w:val="20"/>
                <w:szCs w:val="20"/>
              </w:rPr>
            </w:pPr>
            <w:r w:rsidRPr="001B2E24">
              <w:rPr>
                <w:rFonts w:asciiTheme="majorBidi" w:hAnsiTheme="majorBidi" w:cstheme="majorBidi"/>
                <w:sz w:val="20"/>
                <w:szCs w:val="20"/>
              </w:rPr>
              <w:t>#  Companies in model</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836</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2,214</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826</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1,972</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853</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2,016</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816</w:t>
            </w: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r w:rsidRPr="001B2E24">
              <w:rPr>
                <w:rFonts w:asciiTheme="majorBidi" w:hAnsiTheme="majorBidi" w:cstheme="majorBidi"/>
                <w:color w:val="000000"/>
                <w:sz w:val="20"/>
                <w:szCs w:val="20"/>
              </w:rPr>
              <w:t>1,920</w:t>
            </w: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color w:val="000000"/>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r>
      <w:tr w:rsidR="00EA189E" w:rsidRPr="001B2E24" w:rsidTr="00267542">
        <w:tc>
          <w:tcPr>
            <w:tcW w:w="1332" w:type="dxa"/>
            <w:vAlign w:val="bottom"/>
          </w:tcPr>
          <w:p w:rsidR="0003623C" w:rsidRPr="001B2E24" w:rsidRDefault="0003623C" w:rsidP="00185AE4">
            <w:pPr>
              <w:spacing w:after="0" w:line="240" w:lineRule="auto"/>
              <w:ind w:left="0"/>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change</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164.83%</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138.74%</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136.34%</w:t>
            </w:r>
          </w:p>
        </w:tc>
        <w:tc>
          <w:tcPr>
            <w:tcW w:w="93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135.29%</w:t>
            </w:r>
          </w:p>
        </w:tc>
        <w:tc>
          <w:tcPr>
            <w:tcW w:w="259"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p>
        </w:tc>
        <w:tc>
          <w:tcPr>
            <w:tcW w:w="1151" w:type="dxa"/>
            <w:gridSpan w:val="2"/>
            <w:vAlign w:val="center"/>
          </w:tcPr>
          <w:p w:rsidR="0003623C" w:rsidRPr="001B2E24" w:rsidRDefault="0003623C" w:rsidP="00185AE4">
            <w:pPr>
              <w:spacing w:after="0" w:line="240" w:lineRule="auto"/>
              <w:ind w:left="0"/>
              <w:jc w:val="center"/>
              <w:rPr>
                <w:rFonts w:asciiTheme="majorBidi" w:hAnsiTheme="majorBidi" w:cstheme="majorBidi"/>
                <w:b/>
                <w:bCs/>
                <w:color w:val="FF0000"/>
                <w:sz w:val="20"/>
                <w:szCs w:val="20"/>
              </w:rPr>
            </w:pPr>
            <w:r w:rsidRPr="001B2E24">
              <w:rPr>
                <w:rFonts w:asciiTheme="majorBidi" w:hAnsiTheme="majorBidi" w:cstheme="majorBidi"/>
                <w:b/>
                <w:bCs/>
                <w:color w:val="FF0000"/>
                <w:sz w:val="20"/>
                <w:szCs w:val="20"/>
              </w:rPr>
              <w:t>143.80%</w:t>
            </w:r>
          </w:p>
        </w:tc>
      </w:tr>
    </w:tbl>
    <w:p w:rsidR="00191082" w:rsidRPr="00254D61" w:rsidRDefault="00191082" w:rsidP="00530BF5">
      <w:pPr>
        <w:pStyle w:val="a"/>
        <w:numPr>
          <w:ilvl w:val="0"/>
          <w:numId w:val="0"/>
        </w:numPr>
        <w:ind w:left="720"/>
        <w:contextualSpacing w:val="0"/>
        <w:rPr>
          <w:rFonts w:asciiTheme="majorBidi" w:hAnsiTheme="majorBidi" w:cstheme="majorBidi"/>
        </w:rPr>
      </w:pPr>
    </w:p>
    <w:p w:rsidR="00637394" w:rsidRPr="00254D61" w:rsidRDefault="00637394" w:rsidP="00420450">
      <w:pPr>
        <w:pStyle w:val="1"/>
      </w:pPr>
      <w:r w:rsidRPr="00254D61">
        <w:t xml:space="preserve">THE MODELS </w:t>
      </w:r>
      <w:r w:rsidR="00267542" w:rsidRPr="00254D61">
        <w:t xml:space="preserve">BASED ON </w:t>
      </w:r>
      <w:r w:rsidR="005D01E0" w:rsidRPr="00254D61">
        <w:t>FULL</w:t>
      </w:r>
      <w:r w:rsidR="00267542" w:rsidRPr="00254D61">
        <w:t xml:space="preserve"> DATA</w:t>
      </w:r>
    </w:p>
    <w:p w:rsidR="00637394" w:rsidRPr="001B2E24" w:rsidRDefault="00637394"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In the first run all 36 variables were used (see appendix 2), a list of the variables found significant in each model is presented in Table </w:t>
      </w:r>
      <w:r w:rsidR="00C01F63" w:rsidRPr="001B2E24">
        <w:rPr>
          <w:rFonts w:asciiTheme="majorBidi" w:hAnsiTheme="majorBidi" w:cstheme="majorBidi"/>
          <w:sz w:val="21"/>
          <w:szCs w:val="21"/>
        </w:rPr>
        <w:t>5</w:t>
      </w:r>
      <w:r w:rsidRPr="001B2E24">
        <w:rPr>
          <w:rFonts w:asciiTheme="majorBidi" w:hAnsiTheme="majorBidi" w:cstheme="majorBidi"/>
          <w:sz w:val="21"/>
          <w:szCs w:val="21"/>
        </w:rPr>
        <w:t xml:space="preserve">. </w:t>
      </w:r>
    </w:p>
    <w:p w:rsidR="00637394" w:rsidRPr="00254D61" w:rsidRDefault="00637394" w:rsidP="00530BF5">
      <w:pPr>
        <w:jc w:val="center"/>
        <w:rPr>
          <w:rFonts w:asciiTheme="majorBidi" w:hAnsiTheme="majorBidi" w:cstheme="majorBidi"/>
          <w:b/>
          <w:bCs/>
          <w:sz w:val="20"/>
          <w:szCs w:val="20"/>
        </w:rPr>
      </w:pPr>
      <w:r w:rsidRPr="00254D61">
        <w:rPr>
          <w:rFonts w:asciiTheme="majorBidi" w:hAnsiTheme="majorBidi" w:cstheme="majorBidi"/>
          <w:b/>
          <w:bCs/>
          <w:sz w:val="20"/>
          <w:szCs w:val="20"/>
          <w:u w:val="single"/>
        </w:rPr>
        <w:t xml:space="preserve">Table </w:t>
      </w:r>
      <w:r w:rsidR="00C01F63" w:rsidRPr="00254D61">
        <w:rPr>
          <w:rFonts w:asciiTheme="majorBidi" w:hAnsiTheme="majorBidi" w:cstheme="majorBidi"/>
          <w:b/>
          <w:bCs/>
          <w:sz w:val="20"/>
          <w:szCs w:val="20"/>
          <w:u w:val="single"/>
        </w:rPr>
        <w:t>5</w:t>
      </w:r>
      <w:r w:rsidRPr="00254D61">
        <w:rPr>
          <w:rFonts w:asciiTheme="majorBidi" w:hAnsiTheme="majorBidi" w:cstheme="majorBidi"/>
          <w:b/>
          <w:bCs/>
          <w:sz w:val="20"/>
          <w:szCs w:val="20"/>
        </w:rPr>
        <w:t xml:space="preserve">: Results of </w:t>
      </w:r>
      <w:r w:rsidR="005C3952" w:rsidRPr="00254D61">
        <w:rPr>
          <w:rFonts w:asciiTheme="majorBidi" w:hAnsiTheme="majorBidi" w:cstheme="majorBidi"/>
          <w:b/>
          <w:bCs/>
          <w:sz w:val="20"/>
          <w:szCs w:val="20"/>
        </w:rPr>
        <w:t>L</w:t>
      </w:r>
      <w:r w:rsidRPr="00254D61">
        <w:rPr>
          <w:rFonts w:asciiTheme="majorBidi" w:hAnsiTheme="majorBidi" w:cstheme="majorBidi"/>
          <w:b/>
          <w:bCs/>
          <w:sz w:val="20"/>
          <w:szCs w:val="20"/>
        </w:rPr>
        <w:t xml:space="preserve">ogistic </w:t>
      </w:r>
      <w:r w:rsidR="005C3952" w:rsidRPr="00254D61">
        <w:rPr>
          <w:rFonts w:asciiTheme="majorBidi" w:hAnsiTheme="majorBidi" w:cstheme="majorBidi"/>
          <w:b/>
          <w:bCs/>
          <w:sz w:val="20"/>
          <w:szCs w:val="20"/>
        </w:rPr>
        <w:t>R</w:t>
      </w:r>
      <w:r w:rsidRPr="00254D61">
        <w:rPr>
          <w:rFonts w:asciiTheme="majorBidi" w:hAnsiTheme="majorBidi" w:cstheme="majorBidi"/>
          <w:b/>
          <w:bCs/>
          <w:sz w:val="20"/>
          <w:szCs w:val="20"/>
        </w:rPr>
        <w:t xml:space="preserve">egressions for </w:t>
      </w:r>
      <w:r w:rsidR="005C3952" w:rsidRPr="00254D61">
        <w:rPr>
          <w:rFonts w:asciiTheme="majorBidi" w:hAnsiTheme="majorBidi" w:cstheme="majorBidi"/>
          <w:b/>
          <w:bCs/>
          <w:sz w:val="20"/>
          <w:szCs w:val="20"/>
        </w:rPr>
        <w:t>P</w:t>
      </w:r>
      <w:r w:rsidRPr="00254D61">
        <w:rPr>
          <w:rFonts w:asciiTheme="majorBidi" w:hAnsiTheme="majorBidi" w:cstheme="majorBidi"/>
          <w:b/>
          <w:bCs/>
          <w:sz w:val="20"/>
          <w:szCs w:val="20"/>
        </w:rPr>
        <w:t>redicting Q3 2015 through Q2 2016</w:t>
      </w:r>
      <w:r w:rsidR="00C01F63" w:rsidRPr="00254D61">
        <w:rPr>
          <w:rFonts w:asciiTheme="majorBidi" w:hAnsiTheme="majorBidi" w:cstheme="majorBidi"/>
          <w:b/>
          <w:bCs/>
          <w:sz w:val="20"/>
          <w:szCs w:val="20"/>
        </w:rPr>
        <w:t xml:space="preserve"> Full Data</w:t>
      </w:r>
    </w:p>
    <w:tbl>
      <w:tblPr>
        <w:tblW w:w="5000" w:type="pct"/>
        <w:tblLook w:val="04A0" w:firstRow="1" w:lastRow="0" w:firstColumn="1" w:lastColumn="0" w:noHBand="0" w:noVBand="1"/>
      </w:tblPr>
      <w:tblGrid>
        <w:gridCol w:w="4137"/>
        <w:gridCol w:w="1363"/>
        <w:gridCol w:w="1344"/>
        <w:gridCol w:w="1344"/>
        <w:gridCol w:w="1548"/>
      </w:tblGrid>
      <w:tr w:rsidR="00637394" w:rsidRPr="001B2E24" w:rsidTr="00185AE4">
        <w:trPr>
          <w:trHeight w:val="20"/>
        </w:trPr>
        <w:tc>
          <w:tcPr>
            <w:tcW w:w="2125" w:type="pct"/>
            <w:tcBorders>
              <w:top w:val="single" w:sz="4" w:space="0" w:color="auto"/>
              <w:left w:val="single" w:sz="4" w:space="0" w:color="auto"/>
              <w:bottom w:val="single" w:sz="4" w:space="0" w:color="auto"/>
            </w:tcBorders>
            <w:shd w:val="clear" w:color="auto" w:fill="auto"/>
            <w:noWrap/>
            <w:vAlign w:val="center"/>
            <w:hideMark/>
          </w:tcPr>
          <w:p w:rsidR="00637394" w:rsidRPr="001B2E24" w:rsidRDefault="00637394" w:rsidP="00185AE4">
            <w:pPr>
              <w:spacing w:after="0" w:line="240" w:lineRule="auto"/>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Variables</w:t>
            </w:r>
          </w:p>
        </w:tc>
        <w:tc>
          <w:tcPr>
            <w:tcW w:w="700" w:type="pct"/>
            <w:tcBorders>
              <w:top w:val="single" w:sz="4" w:space="0" w:color="auto"/>
              <w:bottom w:val="single" w:sz="4" w:space="0" w:color="auto"/>
            </w:tcBorders>
            <w:shd w:val="clear" w:color="auto" w:fill="auto"/>
            <w:noWrap/>
            <w:vAlign w:val="center"/>
            <w:hideMark/>
          </w:tcPr>
          <w:p w:rsidR="00637394" w:rsidRPr="001B2E24" w:rsidRDefault="00637394" w:rsidP="00185AE4">
            <w:pPr>
              <w:spacing w:after="0" w:line="240" w:lineRule="auto"/>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Q3/2015</w:t>
            </w:r>
          </w:p>
        </w:tc>
        <w:tc>
          <w:tcPr>
            <w:tcW w:w="690" w:type="pct"/>
            <w:tcBorders>
              <w:top w:val="single" w:sz="4" w:space="0" w:color="auto"/>
              <w:bottom w:val="single" w:sz="4" w:space="0" w:color="auto"/>
            </w:tcBorders>
            <w:shd w:val="clear" w:color="auto" w:fill="auto"/>
            <w:noWrap/>
            <w:vAlign w:val="center"/>
            <w:hideMark/>
          </w:tcPr>
          <w:p w:rsidR="00637394" w:rsidRPr="001B2E24" w:rsidRDefault="00637394" w:rsidP="00185AE4">
            <w:pPr>
              <w:spacing w:after="0" w:line="240" w:lineRule="auto"/>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Q4/2015</w:t>
            </w:r>
          </w:p>
        </w:tc>
        <w:tc>
          <w:tcPr>
            <w:tcW w:w="690" w:type="pct"/>
            <w:tcBorders>
              <w:top w:val="single" w:sz="4" w:space="0" w:color="auto"/>
              <w:bottom w:val="single" w:sz="4" w:space="0" w:color="auto"/>
            </w:tcBorders>
            <w:shd w:val="clear" w:color="auto" w:fill="auto"/>
            <w:noWrap/>
            <w:vAlign w:val="center"/>
            <w:hideMark/>
          </w:tcPr>
          <w:p w:rsidR="00637394" w:rsidRPr="001B2E24" w:rsidRDefault="00637394" w:rsidP="00185AE4">
            <w:pPr>
              <w:spacing w:after="0" w:line="240" w:lineRule="auto"/>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Q1/2016</w:t>
            </w:r>
          </w:p>
        </w:tc>
        <w:tc>
          <w:tcPr>
            <w:tcW w:w="796" w:type="pct"/>
            <w:tcBorders>
              <w:top w:val="single" w:sz="4" w:space="0" w:color="auto"/>
              <w:bottom w:val="single" w:sz="4" w:space="0" w:color="auto"/>
              <w:right w:val="single" w:sz="4" w:space="0" w:color="auto"/>
            </w:tcBorders>
            <w:shd w:val="clear" w:color="auto" w:fill="auto"/>
            <w:noWrap/>
            <w:vAlign w:val="center"/>
            <w:hideMark/>
          </w:tcPr>
          <w:p w:rsidR="00637394" w:rsidRPr="001B2E24" w:rsidRDefault="00637394" w:rsidP="00185AE4">
            <w:pPr>
              <w:spacing w:after="0" w:line="240" w:lineRule="auto"/>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Q2/2016</w:t>
            </w:r>
          </w:p>
        </w:tc>
      </w:tr>
      <w:tr w:rsidR="00C01F63" w:rsidRPr="001B2E24" w:rsidTr="00185AE4">
        <w:trPr>
          <w:trHeight w:val="227"/>
        </w:trPr>
        <w:tc>
          <w:tcPr>
            <w:tcW w:w="2125" w:type="pct"/>
            <w:tcBorders>
              <w:top w:val="single" w:sz="4" w:space="0" w:color="auto"/>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Net</w:t>
            </w:r>
            <w:proofErr w:type="gramEnd"/>
            <w:r w:rsidRPr="001B2E24">
              <w:rPr>
                <w:rFonts w:asciiTheme="majorBidi" w:hAnsiTheme="majorBidi" w:cstheme="majorBidi"/>
                <w:color w:val="000000"/>
                <w:sz w:val="21"/>
                <w:szCs w:val="21"/>
              </w:rPr>
              <w:t xml:space="preserve"> Profit Margin</w:t>
            </w:r>
          </w:p>
        </w:tc>
        <w:tc>
          <w:tcPr>
            <w:tcW w:w="700" w:type="pct"/>
            <w:tcBorders>
              <w:top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-0.4525</w:t>
            </w:r>
          </w:p>
        </w:tc>
        <w:tc>
          <w:tcPr>
            <w:tcW w:w="690" w:type="pct"/>
            <w:tcBorders>
              <w:top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-0.4453</w:t>
            </w:r>
          </w:p>
        </w:tc>
        <w:tc>
          <w:tcPr>
            <w:tcW w:w="690" w:type="pct"/>
            <w:tcBorders>
              <w:top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-0.4402</w:t>
            </w:r>
          </w:p>
        </w:tc>
        <w:tc>
          <w:tcPr>
            <w:tcW w:w="796" w:type="pct"/>
            <w:tcBorders>
              <w:top w:val="single" w:sz="4" w:space="0" w:color="auto"/>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-0.4519</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ROA</w:t>
            </w:r>
          </w:p>
        </w:tc>
        <w:tc>
          <w:tcPr>
            <w:tcW w:w="70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-15.5055</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-16.8892</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-18.5010</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-19.5109</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Equity</w:t>
            </w:r>
            <w:proofErr w:type="gramEnd"/>
            <w:r w:rsidRPr="001B2E24">
              <w:rPr>
                <w:rFonts w:asciiTheme="majorBidi" w:hAnsiTheme="majorBidi" w:cstheme="majorBidi"/>
                <w:color w:val="000000"/>
                <w:sz w:val="21"/>
                <w:szCs w:val="21"/>
              </w:rPr>
              <w:t xml:space="preserve"> to Fixed Assets</w:t>
            </w:r>
          </w:p>
        </w:tc>
        <w:tc>
          <w:tcPr>
            <w:tcW w:w="70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-2.0725</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-1.7947</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-1.7543</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-2.4537</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Days</w:t>
            </w:r>
            <w:proofErr w:type="gramEnd"/>
            <w:r w:rsidRPr="001B2E24">
              <w:rPr>
                <w:rFonts w:asciiTheme="majorBidi" w:hAnsiTheme="majorBidi" w:cstheme="majorBidi"/>
                <w:color w:val="000000"/>
                <w:sz w:val="21"/>
                <w:szCs w:val="21"/>
              </w:rPr>
              <w:t xml:space="preserve"> sales to Accounts </w:t>
            </w:r>
            <w:proofErr w:type="spellStart"/>
            <w:r w:rsidRPr="001B2E24">
              <w:rPr>
                <w:rFonts w:asciiTheme="majorBidi" w:hAnsiTheme="majorBidi" w:cstheme="majorBidi"/>
                <w:color w:val="000000"/>
                <w:sz w:val="21"/>
                <w:szCs w:val="21"/>
              </w:rPr>
              <w:t>Recv</w:t>
            </w:r>
            <w:proofErr w:type="spellEnd"/>
            <w:r w:rsidRPr="001B2E24">
              <w:rPr>
                <w:rFonts w:asciiTheme="majorBidi" w:hAnsiTheme="majorBidi" w:cstheme="majorBidi"/>
                <w:color w:val="000000"/>
                <w:sz w:val="21"/>
                <w:szCs w:val="21"/>
              </w:rPr>
              <w:t>.</w:t>
            </w:r>
          </w:p>
        </w:tc>
        <w:tc>
          <w:tcPr>
            <w:tcW w:w="70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0.8071</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0.8706</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0.8763</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0.9137</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Quick</w:t>
            </w:r>
            <w:proofErr w:type="gramEnd"/>
            <w:r w:rsidRPr="001B2E24">
              <w:rPr>
                <w:rFonts w:asciiTheme="majorBidi" w:hAnsiTheme="majorBidi" w:cstheme="majorBidi"/>
                <w:color w:val="000000"/>
                <w:sz w:val="21"/>
                <w:szCs w:val="21"/>
              </w:rPr>
              <w:t xml:space="preserve"> Ratio</w:t>
            </w:r>
          </w:p>
        </w:tc>
        <w:tc>
          <w:tcPr>
            <w:tcW w:w="70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-0.5683</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-0.5909</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-0.5485</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-0.5687</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Operating Income to Total Assets</w:t>
            </w:r>
          </w:p>
        </w:tc>
        <w:tc>
          <w:tcPr>
            <w:tcW w:w="70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7.6220</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6.4203</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8.5289</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10.1506</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Net Profit Margin</w:t>
            </w:r>
          </w:p>
        </w:tc>
        <w:tc>
          <w:tcPr>
            <w:tcW w:w="70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-1.6839</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-1.5142</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-1.4182</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-0.8134</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Return on Operating Expenditures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-4.2742</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-4.2676</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-3.8261</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Sales to Total Assets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-0.3197</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-0.3104</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-0.3690</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Pretax Income to Sales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0.5457</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0.7506</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0.6266</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Quick Ratio</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-0.0191</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-0.0236</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-0.0278</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Capital</w:t>
            </w:r>
            <w:proofErr w:type="gramEnd"/>
            <w:r w:rsidRPr="001B2E24">
              <w:rPr>
                <w:rFonts w:asciiTheme="majorBidi" w:hAnsiTheme="majorBidi" w:cstheme="majorBidi"/>
                <w:color w:val="000000"/>
                <w:sz w:val="21"/>
                <w:szCs w:val="21"/>
              </w:rPr>
              <w:t xml:space="preserve"> Expenditures to Total Assets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-0.0509</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-0.0444</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-0.0521</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Sales</w:t>
            </w:r>
            <w:proofErr w:type="gramEnd"/>
            <w:r w:rsidRPr="001B2E24">
              <w:rPr>
                <w:rFonts w:asciiTheme="majorBidi" w:hAnsiTheme="majorBidi" w:cstheme="majorBidi"/>
                <w:color w:val="000000"/>
                <w:sz w:val="21"/>
                <w:szCs w:val="21"/>
              </w:rPr>
              <w:t xml:space="preserve"> to Total Assets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-0.7386</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-0.6431</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Sales to Fixed Assets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-0.0178</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-0.0153</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 xml:space="preserve">Days Sales Accounts </w:t>
            </w:r>
            <w:proofErr w:type="spellStart"/>
            <w:r w:rsidRPr="001B2E24">
              <w:rPr>
                <w:rFonts w:asciiTheme="majorBidi" w:hAnsiTheme="majorBidi" w:cstheme="majorBidi"/>
                <w:color w:val="000000"/>
                <w:sz w:val="21"/>
                <w:szCs w:val="21"/>
              </w:rPr>
              <w:t>Recv</w:t>
            </w:r>
            <w:proofErr w:type="spellEnd"/>
            <w:r w:rsidRPr="001B2E24">
              <w:rPr>
                <w:rFonts w:asciiTheme="majorBidi" w:hAnsiTheme="majorBidi" w:cstheme="majorBidi"/>
                <w:color w:val="000000"/>
                <w:sz w:val="21"/>
                <w:szCs w:val="21"/>
              </w:rPr>
              <w:t>.</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0.0002</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0.0002</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EBITDA to Sales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-0.3173</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-0.3096</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Total</w:t>
            </w:r>
            <w:proofErr w:type="gramEnd"/>
            <w:r w:rsidRPr="001B2E24">
              <w:rPr>
                <w:rFonts w:asciiTheme="majorBidi" w:hAnsiTheme="majorBidi" w:cstheme="majorBidi"/>
                <w:color w:val="000000"/>
                <w:sz w:val="21"/>
                <w:szCs w:val="21"/>
              </w:rPr>
              <w:t xml:space="preserve"> Assets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1.5068</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1.9125</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Total</w:t>
            </w:r>
            <w:proofErr w:type="gramEnd"/>
            <w:r w:rsidRPr="001B2E24">
              <w:rPr>
                <w:rFonts w:asciiTheme="majorBidi" w:hAnsiTheme="majorBidi" w:cstheme="majorBidi"/>
                <w:color w:val="000000"/>
                <w:sz w:val="21"/>
                <w:szCs w:val="21"/>
              </w:rPr>
              <w:t xml:space="preserve"> Revenue</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-0.8867</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-0.9298</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Capital</w:t>
            </w:r>
            <w:proofErr w:type="gramEnd"/>
            <w:r w:rsidRPr="001B2E24">
              <w:rPr>
                <w:rFonts w:asciiTheme="majorBidi" w:hAnsiTheme="majorBidi" w:cstheme="majorBidi"/>
                <w:color w:val="000000"/>
                <w:sz w:val="21"/>
                <w:szCs w:val="21"/>
              </w:rPr>
              <w:t xml:space="preserve"> Expenditures to Total Assets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0.0765</w:t>
            </w: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Production</w:t>
            </w:r>
            <w:proofErr w:type="gramEnd"/>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0.1760</w:t>
            </w: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ROCE</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-3.2999</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Total</w:t>
            </w:r>
            <w:proofErr w:type="gramEnd"/>
            <w:r w:rsidRPr="001B2E24">
              <w:rPr>
                <w:rFonts w:asciiTheme="majorBidi" w:hAnsiTheme="majorBidi" w:cstheme="majorBidi"/>
                <w:color w:val="000000"/>
                <w:sz w:val="21"/>
                <w:szCs w:val="21"/>
              </w:rPr>
              <w:t xml:space="preserve"> Depreciation</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1.8295</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r w:rsidRPr="001B2E24">
              <w:rPr>
                <w:rFonts w:asciiTheme="majorBidi" w:hAnsiTheme="majorBidi" w:cstheme="majorBidi"/>
                <w:color w:val="000000"/>
                <w:sz w:val="21"/>
                <w:szCs w:val="21"/>
              </w:rPr>
              <w:t>Working Capital to Total Assets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-0.1158</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Operating</w:t>
            </w:r>
            <w:proofErr w:type="gramEnd"/>
            <w:r w:rsidRPr="001B2E24">
              <w:rPr>
                <w:rFonts w:asciiTheme="majorBidi" w:hAnsiTheme="majorBidi" w:cstheme="majorBidi"/>
                <w:color w:val="000000"/>
                <w:sz w:val="21"/>
                <w:szCs w:val="21"/>
              </w:rPr>
              <w:t xml:space="preserve"> Income to Total Assets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-0.0950</w:t>
            </w:r>
          </w:p>
        </w:tc>
      </w:tr>
      <w:tr w:rsidR="00C01F63" w:rsidRPr="001B2E24" w:rsidTr="00185AE4">
        <w:trPr>
          <w:trHeight w:val="227"/>
        </w:trPr>
        <w:tc>
          <w:tcPr>
            <w:tcW w:w="2125" w:type="pct"/>
            <w:tcBorders>
              <w:left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Pretax</w:t>
            </w:r>
            <w:proofErr w:type="gramEnd"/>
            <w:r w:rsidRPr="001B2E24">
              <w:rPr>
                <w:rFonts w:asciiTheme="majorBidi" w:hAnsiTheme="majorBidi" w:cstheme="majorBidi"/>
                <w:color w:val="000000"/>
                <w:sz w:val="21"/>
                <w:szCs w:val="21"/>
              </w:rPr>
              <w:t xml:space="preserve"> Income to Sales</w:t>
            </w:r>
          </w:p>
        </w:tc>
        <w:tc>
          <w:tcPr>
            <w:tcW w:w="700" w:type="pct"/>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796" w:type="pct"/>
            <w:tcBorders>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0.0966</w:t>
            </w:r>
          </w:p>
        </w:tc>
      </w:tr>
      <w:tr w:rsidR="00C01F63" w:rsidRPr="001B2E24" w:rsidTr="00185AE4">
        <w:trPr>
          <w:trHeight w:val="227"/>
        </w:trPr>
        <w:tc>
          <w:tcPr>
            <w:tcW w:w="2125" w:type="pct"/>
            <w:tcBorders>
              <w:left w:val="single" w:sz="4" w:space="0" w:color="auto"/>
              <w:bottom w:val="single" w:sz="4" w:space="0" w:color="auto"/>
            </w:tcBorders>
            <w:shd w:val="clear" w:color="auto" w:fill="auto"/>
            <w:noWrap/>
            <w:vAlign w:val="center"/>
          </w:tcPr>
          <w:p w:rsidR="00C01F63" w:rsidRPr="001B2E24" w:rsidRDefault="00C01F63" w:rsidP="00185AE4">
            <w:pPr>
              <w:spacing w:after="0" w:line="240" w:lineRule="auto"/>
              <w:ind w:left="0"/>
              <w:rPr>
                <w:rFonts w:asciiTheme="majorBidi" w:hAnsiTheme="majorBidi" w:cstheme="majorBidi"/>
                <w:color w:val="000000"/>
                <w:sz w:val="21"/>
                <w:szCs w:val="21"/>
              </w:rPr>
            </w:pPr>
            <w:proofErr w:type="gramStart"/>
            <w:r w:rsidRPr="001B2E24">
              <w:rPr>
                <w:rFonts w:asciiTheme="majorBidi" w:hAnsiTheme="majorBidi" w:cstheme="majorBidi"/>
                <w:color w:val="000000"/>
                <w:sz w:val="21"/>
                <w:szCs w:val="21"/>
              </w:rPr>
              <w:t>Δ  Production</w:t>
            </w:r>
            <w:proofErr w:type="gramEnd"/>
          </w:p>
        </w:tc>
        <w:tc>
          <w:tcPr>
            <w:tcW w:w="700" w:type="pct"/>
            <w:tcBorders>
              <w:bottom w:val="single" w:sz="4" w:space="0" w:color="auto"/>
            </w:tcBorders>
            <w:shd w:val="clear" w:color="auto" w:fill="auto"/>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p>
        </w:tc>
        <w:tc>
          <w:tcPr>
            <w:tcW w:w="690" w:type="pct"/>
            <w:tcBorders>
              <w:bottom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690" w:type="pct"/>
            <w:tcBorders>
              <w:bottom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sz w:val="21"/>
                <w:szCs w:val="21"/>
              </w:rPr>
            </w:pPr>
          </w:p>
        </w:tc>
        <w:tc>
          <w:tcPr>
            <w:tcW w:w="796" w:type="pct"/>
            <w:tcBorders>
              <w:bottom w:val="single" w:sz="4" w:space="0" w:color="auto"/>
              <w:right w:val="single" w:sz="4" w:space="0" w:color="auto"/>
            </w:tcBorders>
            <w:shd w:val="clear" w:color="auto" w:fill="auto"/>
            <w:noWrap/>
            <w:vAlign w:val="bottom"/>
          </w:tcPr>
          <w:p w:rsidR="00C01F63" w:rsidRPr="001B2E24" w:rsidRDefault="00C01F63" w:rsidP="00185AE4">
            <w:pPr>
              <w:spacing w:after="0" w:line="240" w:lineRule="auto"/>
              <w:ind w:left="0"/>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0.1667</w:t>
            </w:r>
          </w:p>
        </w:tc>
      </w:tr>
    </w:tbl>
    <w:p w:rsidR="00637394" w:rsidRPr="001B2E24" w:rsidRDefault="00637394"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The number of variables found significant in the different models range from </w:t>
      </w:r>
      <w:r w:rsidR="00EC1D6B" w:rsidRPr="001B2E24">
        <w:rPr>
          <w:rFonts w:asciiTheme="majorBidi" w:hAnsiTheme="majorBidi" w:cstheme="majorBidi"/>
          <w:sz w:val="21"/>
          <w:szCs w:val="21"/>
        </w:rPr>
        <w:t>13</w:t>
      </w:r>
      <w:r w:rsidRPr="001B2E24">
        <w:rPr>
          <w:rFonts w:asciiTheme="majorBidi" w:hAnsiTheme="majorBidi" w:cstheme="majorBidi"/>
          <w:sz w:val="21"/>
          <w:szCs w:val="21"/>
        </w:rPr>
        <w:t xml:space="preserve"> to 1</w:t>
      </w:r>
      <w:r w:rsidR="00EC1D6B" w:rsidRPr="001B2E24">
        <w:rPr>
          <w:rFonts w:asciiTheme="majorBidi" w:hAnsiTheme="majorBidi" w:cstheme="majorBidi"/>
          <w:sz w:val="21"/>
          <w:szCs w:val="21"/>
        </w:rPr>
        <w:t>8</w:t>
      </w:r>
      <w:r w:rsidRPr="001B2E24">
        <w:rPr>
          <w:rFonts w:asciiTheme="majorBidi" w:hAnsiTheme="majorBidi" w:cstheme="majorBidi"/>
          <w:sz w:val="21"/>
          <w:szCs w:val="21"/>
        </w:rPr>
        <w:t xml:space="preserve"> (an average of </w:t>
      </w:r>
      <w:r w:rsidR="00EC1D6B" w:rsidRPr="001B2E24">
        <w:rPr>
          <w:rFonts w:asciiTheme="majorBidi" w:hAnsiTheme="majorBidi" w:cstheme="majorBidi"/>
          <w:sz w:val="21"/>
          <w:szCs w:val="21"/>
        </w:rPr>
        <w:t>16</w:t>
      </w:r>
      <w:r w:rsidRPr="001B2E24">
        <w:rPr>
          <w:rFonts w:asciiTheme="majorBidi" w:hAnsiTheme="majorBidi" w:cstheme="majorBidi"/>
          <w:sz w:val="21"/>
          <w:szCs w:val="21"/>
        </w:rPr>
        <w:t>) for each model, the total number of variables found significant for all models is 2</w:t>
      </w:r>
      <w:r w:rsidR="00EC1D6B" w:rsidRPr="001B2E24">
        <w:rPr>
          <w:rFonts w:asciiTheme="majorBidi" w:hAnsiTheme="majorBidi" w:cstheme="majorBidi"/>
          <w:sz w:val="21"/>
          <w:szCs w:val="21"/>
        </w:rPr>
        <w:t xml:space="preserve">6, </w:t>
      </w:r>
      <w:r w:rsidR="00267542" w:rsidRPr="001B2E24">
        <w:rPr>
          <w:rFonts w:asciiTheme="majorBidi" w:hAnsiTheme="majorBidi" w:cstheme="majorBidi"/>
          <w:sz w:val="21"/>
          <w:szCs w:val="21"/>
        </w:rPr>
        <w:t>with</w:t>
      </w:r>
      <w:r w:rsidR="00EC1D6B" w:rsidRPr="001B2E24">
        <w:rPr>
          <w:rFonts w:asciiTheme="majorBidi" w:hAnsiTheme="majorBidi" w:cstheme="majorBidi"/>
          <w:sz w:val="21"/>
          <w:szCs w:val="21"/>
        </w:rPr>
        <w:t xml:space="preserve"> the original data only 21 variables were found significant for all models</w:t>
      </w:r>
      <w:r w:rsidRPr="001B2E24">
        <w:rPr>
          <w:rFonts w:asciiTheme="majorBidi" w:hAnsiTheme="majorBidi" w:cstheme="majorBidi"/>
          <w:sz w:val="21"/>
          <w:szCs w:val="21"/>
        </w:rPr>
        <w:t xml:space="preserve">. </w:t>
      </w:r>
      <w:r w:rsidR="00EC1D6B" w:rsidRPr="001B2E24">
        <w:rPr>
          <w:rFonts w:asciiTheme="majorBidi" w:hAnsiTheme="majorBidi" w:cstheme="majorBidi"/>
          <w:sz w:val="21"/>
          <w:szCs w:val="21"/>
        </w:rPr>
        <w:t xml:space="preserve">Seven </w:t>
      </w:r>
      <w:r w:rsidRPr="001B2E24">
        <w:rPr>
          <w:rFonts w:asciiTheme="majorBidi" w:hAnsiTheme="majorBidi" w:cstheme="majorBidi"/>
          <w:sz w:val="21"/>
          <w:szCs w:val="21"/>
        </w:rPr>
        <w:t xml:space="preserve">of the variables (Δ Net Profit Margin, ROA, </w:t>
      </w:r>
      <w:r w:rsidR="00EC1D6B" w:rsidRPr="001B2E24">
        <w:rPr>
          <w:rFonts w:asciiTheme="majorBidi" w:hAnsiTheme="majorBidi" w:cstheme="majorBidi"/>
          <w:sz w:val="21"/>
          <w:szCs w:val="21"/>
        </w:rPr>
        <w:t xml:space="preserve">Δ Equity to Fixed Assets, </w:t>
      </w:r>
      <w:r w:rsidRPr="001B2E24">
        <w:rPr>
          <w:rFonts w:asciiTheme="majorBidi" w:hAnsiTheme="majorBidi" w:cstheme="majorBidi"/>
          <w:sz w:val="21"/>
          <w:szCs w:val="21"/>
        </w:rPr>
        <w:t xml:space="preserve">Δ Days sales to Accounts </w:t>
      </w:r>
      <w:proofErr w:type="spellStart"/>
      <w:r w:rsidRPr="001B2E24">
        <w:rPr>
          <w:rFonts w:asciiTheme="majorBidi" w:hAnsiTheme="majorBidi" w:cstheme="majorBidi"/>
          <w:sz w:val="21"/>
          <w:szCs w:val="21"/>
        </w:rPr>
        <w:t>Recv</w:t>
      </w:r>
      <w:proofErr w:type="spellEnd"/>
      <w:r w:rsidRPr="001B2E24">
        <w:rPr>
          <w:rFonts w:asciiTheme="majorBidi" w:hAnsiTheme="majorBidi" w:cstheme="majorBidi"/>
          <w:sz w:val="21"/>
          <w:szCs w:val="21"/>
        </w:rPr>
        <w:t xml:space="preserve">, Δ Quick Ratio, Operating Income to Total Assets, and </w:t>
      </w:r>
      <w:r w:rsidR="00EC1D6B" w:rsidRPr="001B2E24">
        <w:rPr>
          <w:rFonts w:asciiTheme="majorBidi" w:hAnsiTheme="majorBidi" w:cstheme="majorBidi"/>
          <w:sz w:val="21"/>
          <w:szCs w:val="21"/>
        </w:rPr>
        <w:t xml:space="preserve">Net </w:t>
      </w:r>
      <w:r w:rsidR="00A17DFC" w:rsidRPr="001B2E24">
        <w:rPr>
          <w:rFonts w:asciiTheme="majorBidi" w:hAnsiTheme="majorBidi" w:cstheme="majorBidi"/>
          <w:sz w:val="21"/>
          <w:szCs w:val="21"/>
        </w:rPr>
        <w:t>Profit Margin</w:t>
      </w:r>
      <w:r w:rsidRPr="001B2E24">
        <w:rPr>
          <w:rFonts w:asciiTheme="majorBidi" w:hAnsiTheme="majorBidi" w:cstheme="majorBidi"/>
          <w:sz w:val="21"/>
          <w:szCs w:val="21"/>
        </w:rPr>
        <w:t xml:space="preserve">) were common for all the models, </w:t>
      </w:r>
      <w:r w:rsidR="00A17DFC" w:rsidRPr="001B2E24">
        <w:rPr>
          <w:rFonts w:asciiTheme="majorBidi" w:hAnsiTheme="majorBidi" w:cstheme="majorBidi"/>
          <w:sz w:val="21"/>
          <w:szCs w:val="21"/>
        </w:rPr>
        <w:t>five variables were common to three models, six</w:t>
      </w:r>
      <w:r w:rsidRPr="001B2E24">
        <w:rPr>
          <w:rFonts w:asciiTheme="majorBidi" w:hAnsiTheme="majorBidi" w:cstheme="majorBidi"/>
          <w:sz w:val="21"/>
          <w:szCs w:val="21"/>
        </w:rPr>
        <w:t xml:space="preserve"> variables were common to two of the four models, and the other </w:t>
      </w:r>
      <w:r w:rsidR="00A17DFC" w:rsidRPr="001B2E24">
        <w:rPr>
          <w:rFonts w:asciiTheme="majorBidi" w:hAnsiTheme="majorBidi" w:cstheme="majorBidi"/>
          <w:sz w:val="21"/>
          <w:szCs w:val="21"/>
        </w:rPr>
        <w:t>eight</w:t>
      </w:r>
      <w:r w:rsidRPr="001B2E24">
        <w:rPr>
          <w:rFonts w:asciiTheme="majorBidi" w:hAnsiTheme="majorBidi" w:cstheme="majorBidi"/>
          <w:sz w:val="21"/>
          <w:szCs w:val="21"/>
        </w:rPr>
        <w:t xml:space="preserve"> variables were specific to only one model.</w:t>
      </w:r>
    </w:p>
    <w:p w:rsidR="00A17DFC" w:rsidRPr="001B2E24" w:rsidRDefault="00A17DFC"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Of the seven variables, common to all four models, five were also common to the previous models (before imputation). The stability of the model can be measured by the fact that of the 26 variables in the model twelve variables (46%) were common to 3-4 of the models, compared to five out of 21 (24%) variables from the previous models (before imputation).</w:t>
      </w:r>
    </w:p>
    <w:p w:rsidR="00637394" w:rsidRPr="00254D61" w:rsidRDefault="00637394" w:rsidP="00420450">
      <w:pPr>
        <w:pStyle w:val="2"/>
      </w:pPr>
      <w:r w:rsidRPr="00254D61">
        <w:t>The Model Forecasts</w:t>
      </w:r>
    </w:p>
    <w:p w:rsidR="00637394" w:rsidRPr="001B2E24" w:rsidRDefault="00637394"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The accuracy of the models (presented in Table </w:t>
      </w:r>
      <w:r w:rsidR="0082737F" w:rsidRPr="001B2E24">
        <w:rPr>
          <w:rFonts w:asciiTheme="majorBidi" w:hAnsiTheme="majorBidi" w:cstheme="majorBidi"/>
          <w:sz w:val="21"/>
          <w:szCs w:val="21"/>
        </w:rPr>
        <w:t>6</w:t>
      </w:r>
      <w:r w:rsidRPr="001B2E24">
        <w:rPr>
          <w:rFonts w:asciiTheme="majorBidi" w:hAnsiTheme="majorBidi" w:cstheme="majorBidi"/>
          <w:sz w:val="21"/>
          <w:szCs w:val="21"/>
        </w:rPr>
        <w:t xml:space="preserve">) ranges between 66% - </w:t>
      </w:r>
      <w:r w:rsidR="0082737F" w:rsidRPr="001B2E24">
        <w:rPr>
          <w:rFonts w:asciiTheme="majorBidi" w:hAnsiTheme="majorBidi" w:cstheme="majorBidi"/>
          <w:sz w:val="21"/>
          <w:szCs w:val="21"/>
        </w:rPr>
        <w:t>73</w:t>
      </w:r>
      <w:r w:rsidRPr="001B2E24">
        <w:rPr>
          <w:rFonts w:asciiTheme="majorBidi" w:hAnsiTheme="majorBidi" w:cstheme="majorBidi"/>
          <w:sz w:val="21"/>
          <w:szCs w:val="21"/>
        </w:rPr>
        <w:t xml:space="preserve">%, with an average of </w:t>
      </w:r>
      <w:r w:rsidR="0082737F" w:rsidRPr="001B2E24">
        <w:rPr>
          <w:rFonts w:asciiTheme="majorBidi" w:hAnsiTheme="majorBidi" w:cstheme="majorBidi"/>
          <w:sz w:val="21"/>
          <w:szCs w:val="21"/>
        </w:rPr>
        <w:t xml:space="preserve">68.15% compared to the models based on the original data which averaged </w:t>
      </w:r>
      <w:r w:rsidRPr="001B2E24">
        <w:rPr>
          <w:rFonts w:asciiTheme="majorBidi" w:hAnsiTheme="majorBidi" w:cstheme="majorBidi"/>
          <w:sz w:val="21"/>
          <w:szCs w:val="21"/>
        </w:rPr>
        <w:t xml:space="preserve">67.02%. </w:t>
      </w:r>
    </w:p>
    <w:p w:rsidR="0082737F" w:rsidRPr="00254D61" w:rsidRDefault="0082737F" w:rsidP="00530BF5">
      <w:pPr>
        <w:jc w:val="center"/>
        <w:rPr>
          <w:rFonts w:asciiTheme="majorBidi" w:hAnsiTheme="majorBidi" w:cstheme="majorBidi"/>
          <w:b/>
          <w:bCs/>
          <w:sz w:val="20"/>
          <w:szCs w:val="20"/>
        </w:rPr>
      </w:pPr>
      <w:r w:rsidRPr="00254D61">
        <w:rPr>
          <w:rFonts w:asciiTheme="majorBidi" w:hAnsiTheme="majorBidi" w:cstheme="majorBidi"/>
          <w:b/>
          <w:bCs/>
          <w:sz w:val="20"/>
          <w:szCs w:val="20"/>
        </w:rPr>
        <w:t xml:space="preserve">Table 6 – Accuracy and Portfolio </w:t>
      </w:r>
      <w:r w:rsidR="005C3952" w:rsidRPr="00254D61">
        <w:rPr>
          <w:rFonts w:asciiTheme="majorBidi" w:hAnsiTheme="majorBidi" w:cstheme="majorBidi"/>
          <w:b/>
          <w:bCs/>
          <w:sz w:val="20"/>
          <w:szCs w:val="20"/>
        </w:rPr>
        <w:t>S</w:t>
      </w:r>
      <w:r w:rsidRPr="00254D61">
        <w:rPr>
          <w:rFonts w:asciiTheme="majorBidi" w:hAnsiTheme="majorBidi" w:cstheme="majorBidi"/>
          <w:b/>
          <w:bCs/>
          <w:sz w:val="20"/>
          <w:szCs w:val="20"/>
        </w:rPr>
        <w:t>ize– Full Data</w:t>
      </w:r>
    </w:p>
    <w:tbl>
      <w:tblPr>
        <w:tblStyle w:val="ac"/>
        <w:tblW w:w="0" w:type="auto"/>
        <w:tblInd w:w="-431" w:type="dxa"/>
        <w:tblLook w:val="04A0" w:firstRow="1" w:lastRow="0" w:firstColumn="1" w:lastColumn="0" w:noHBand="0" w:noVBand="1"/>
      </w:tblPr>
      <w:tblGrid>
        <w:gridCol w:w="3302"/>
        <w:gridCol w:w="1320"/>
        <w:gridCol w:w="1320"/>
        <w:gridCol w:w="1320"/>
        <w:gridCol w:w="1320"/>
        <w:gridCol w:w="265"/>
        <w:gridCol w:w="1320"/>
      </w:tblGrid>
      <w:tr w:rsidR="005D01E0" w:rsidRPr="001B2E24" w:rsidTr="005D01E0">
        <w:tc>
          <w:tcPr>
            <w:tcW w:w="3828" w:type="dxa"/>
          </w:tcPr>
          <w:p w:rsidR="005D01E0" w:rsidRPr="001B2E24" w:rsidRDefault="005D01E0" w:rsidP="00185AE4">
            <w:pPr>
              <w:spacing w:after="0" w:line="240" w:lineRule="auto"/>
              <w:rPr>
                <w:rFonts w:asciiTheme="majorBidi" w:hAnsiTheme="majorBidi" w:cstheme="majorBidi"/>
                <w:b/>
                <w:bCs/>
                <w:sz w:val="21"/>
                <w:szCs w:val="21"/>
              </w:rPr>
            </w:pPr>
          </w:p>
        </w:tc>
        <w:tc>
          <w:tcPr>
            <w:tcW w:w="1148" w:type="dxa"/>
            <w:vAlign w:val="center"/>
          </w:tcPr>
          <w:p w:rsidR="005D01E0" w:rsidRPr="001B2E24" w:rsidRDefault="005D01E0" w:rsidP="00185AE4">
            <w:pPr>
              <w:spacing w:after="0" w:line="240" w:lineRule="auto"/>
              <w:rPr>
                <w:rFonts w:asciiTheme="majorBidi" w:eastAsia="Times New Roman" w:hAnsiTheme="majorBidi" w:cstheme="majorBidi"/>
                <w:b/>
                <w:bCs/>
                <w:color w:val="000000"/>
                <w:sz w:val="21"/>
                <w:szCs w:val="21"/>
              </w:rPr>
            </w:pPr>
            <w:r w:rsidRPr="001B2E24">
              <w:rPr>
                <w:rFonts w:asciiTheme="majorBidi" w:eastAsia="Times New Roman" w:hAnsiTheme="majorBidi" w:cstheme="majorBidi"/>
                <w:b/>
                <w:bCs/>
                <w:color w:val="000000"/>
                <w:sz w:val="21"/>
                <w:szCs w:val="21"/>
              </w:rPr>
              <w:t>Q3/2015</w:t>
            </w:r>
          </w:p>
        </w:tc>
        <w:tc>
          <w:tcPr>
            <w:tcW w:w="1070" w:type="dxa"/>
            <w:vAlign w:val="center"/>
          </w:tcPr>
          <w:p w:rsidR="005D01E0" w:rsidRPr="001B2E24" w:rsidRDefault="005D01E0" w:rsidP="00185AE4">
            <w:pPr>
              <w:spacing w:after="0" w:line="240" w:lineRule="auto"/>
              <w:rPr>
                <w:rFonts w:asciiTheme="majorBidi" w:eastAsia="Times New Roman" w:hAnsiTheme="majorBidi" w:cstheme="majorBidi"/>
                <w:b/>
                <w:bCs/>
                <w:color w:val="000000"/>
                <w:sz w:val="21"/>
                <w:szCs w:val="21"/>
              </w:rPr>
            </w:pPr>
            <w:r w:rsidRPr="001B2E24">
              <w:rPr>
                <w:rFonts w:asciiTheme="majorBidi" w:eastAsia="Times New Roman" w:hAnsiTheme="majorBidi" w:cstheme="majorBidi"/>
                <w:b/>
                <w:bCs/>
                <w:color w:val="000000"/>
                <w:sz w:val="21"/>
                <w:szCs w:val="21"/>
              </w:rPr>
              <w:t>Q4/2015</w:t>
            </w:r>
          </w:p>
        </w:tc>
        <w:tc>
          <w:tcPr>
            <w:tcW w:w="1070" w:type="dxa"/>
            <w:vAlign w:val="center"/>
          </w:tcPr>
          <w:p w:rsidR="005D01E0" w:rsidRPr="001B2E24" w:rsidRDefault="005D01E0" w:rsidP="00185AE4">
            <w:pPr>
              <w:spacing w:after="0" w:line="240" w:lineRule="auto"/>
              <w:rPr>
                <w:rFonts w:asciiTheme="majorBidi" w:eastAsia="Times New Roman" w:hAnsiTheme="majorBidi" w:cstheme="majorBidi"/>
                <w:b/>
                <w:bCs/>
                <w:color w:val="000000"/>
                <w:sz w:val="21"/>
                <w:szCs w:val="21"/>
              </w:rPr>
            </w:pPr>
            <w:r w:rsidRPr="001B2E24">
              <w:rPr>
                <w:rFonts w:asciiTheme="majorBidi" w:eastAsia="Times New Roman" w:hAnsiTheme="majorBidi" w:cstheme="majorBidi"/>
                <w:b/>
                <w:bCs/>
                <w:color w:val="000000"/>
                <w:sz w:val="21"/>
                <w:szCs w:val="21"/>
              </w:rPr>
              <w:t>Q1/2016</w:t>
            </w:r>
          </w:p>
        </w:tc>
        <w:tc>
          <w:tcPr>
            <w:tcW w:w="1129" w:type="dxa"/>
            <w:vAlign w:val="center"/>
          </w:tcPr>
          <w:p w:rsidR="005D01E0" w:rsidRPr="001B2E24" w:rsidRDefault="005D01E0" w:rsidP="00185AE4">
            <w:pPr>
              <w:spacing w:after="0" w:line="240" w:lineRule="auto"/>
              <w:rPr>
                <w:rFonts w:asciiTheme="majorBidi" w:eastAsia="Times New Roman" w:hAnsiTheme="majorBidi" w:cstheme="majorBidi"/>
                <w:b/>
                <w:bCs/>
                <w:color w:val="000000"/>
                <w:sz w:val="21"/>
                <w:szCs w:val="21"/>
              </w:rPr>
            </w:pPr>
            <w:r w:rsidRPr="001B2E24">
              <w:rPr>
                <w:rFonts w:asciiTheme="majorBidi" w:eastAsia="Times New Roman" w:hAnsiTheme="majorBidi" w:cstheme="majorBidi"/>
                <w:b/>
                <w:bCs/>
                <w:color w:val="000000"/>
                <w:sz w:val="21"/>
                <w:szCs w:val="21"/>
              </w:rPr>
              <w:t>Q2/2016</w:t>
            </w:r>
          </w:p>
        </w:tc>
        <w:tc>
          <w:tcPr>
            <w:tcW w:w="277" w:type="dxa"/>
          </w:tcPr>
          <w:p w:rsidR="005D01E0" w:rsidRPr="001B2E24" w:rsidRDefault="005D01E0" w:rsidP="00185AE4">
            <w:pPr>
              <w:spacing w:after="0" w:line="240" w:lineRule="auto"/>
              <w:rPr>
                <w:rFonts w:asciiTheme="majorBidi" w:hAnsiTheme="majorBidi" w:cstheme="majorBidi"/>
                <w:b/>
                <w:bCs/>
                <w:sz w:val="21"/>
                <w:szCs w:val="21"/>
              </w:rPr>
            </w:pPr>
          </w:p>
        </w:tc>
        <w:tc>
          <w:tcPr>
            <w:tcW w:w="1253" w:type="dxa"/>
          </w:tcPr>
          <w:p w:rsidR="005D01E0" w:rsidRPr="001B2E24" w:rsidRDefault="005D01E0" w:rsidP="00185AE4">
            <w:pPr>
              <w:spacing w:after="0" w:line="240" w:lineRule="auto"/>
              <w:rPr>
                <w:rFonts w:asciiTheme="majorBidi" w:hAnsiTheme="majorBidi" w:cstheme="majorBidi"/>
                <w:b/>
                <w:bCs/>
                <w:sz w:val="21"/>
                <w:szCs w:val="21"/>
              </w:rPr>
            </w:pPr>
            <w:r w:rsidRPr="001B2E24">
              <w:rPr>
                <w:rFonts w:asciiTheme="majorBidi" w:eastAsia="Times New Roman" w:hAnsiTheme="majorBidi" w:cstheme="majorBidi"/>
                <w:b/>
                <w:bCs/>
                <w:color w:val="000000"/>
                <w:sz w:val="21"/>
                <w:szCs w:val="21"/>
              </w:rPr>
              <w:t>Average</w:t>
            </w:r>
          </w:p>
        </w:tc>
      </w:tr>
      <w:tr w:rsidR="005D01E0" w:rsidRPr="001B2E24" w:rsidTr="005D01E0">
        <w:tc>
          <w:tcPr>
            <w:tcW w:w="3828" w:type="dxa"/>
            <w:vAlign w:val="center"/>
          </w:tcPr>
          <w:p w:rsidR="005D01E0" w:rsidRPr="001B2E24" w:rsidRDefault="005D01E0" w:rsidP="00185AE4">
            <w:pPr>
              <w:spacing w:after="0" w:line="240" w:lineRule="auto"/>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Accuracy</w:t>
            </w:r>
          </w:p>
        </w:tc>
        <w:tc>
          <w:tcPr>
            <w:tcW w:w="1148"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66.32%</w:t>
            </w:r>
          </w:p>
        </w:tc>
        <w:tc>
          <w:tcPr>
            <w:tcW w:w="1070"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72.96%</w:t>
            </w:r>
          </w:p>
        </w:tc>
        <w:tc>
          <w:tcPr>
            <w:tcW w:w="1070"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66.73%</w:t>
            </w:r>
          </w:p>
        </w:tc>
        <w:tc>
          <w:tcPr>
            <w:tcW w:w="1129"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66.57%</w:t>
            </w:r>
          </w:p>
        </w:tc>
        <w:tc>
          <w:tcPr>
            <w:tcW w:w="277" w:type="dxa"/>
            <w:vAlign w:val="center"/>
          </w:tcPr>
          <w:p w:rsidR="005D01E0" w:rsidRPr="001B2E24" w:rsidRDefault="005D01E0" w:rsidP="00185AE4">
            <w:pPr>
              <w:spacing w:after="0" w:line="240" w:lineRule="auto"/>
              <w:jc w:val="center"/>
              <w:rPr>
                <w:rFonts w:asciiTheme="majorBidi" w:hAnsiTheme="majorBidi" w:cstheme="majorBidi"/>
                <w:b/>
                <w:bCs/>
                <w:sz w:val="21"/>
                <w:szCs w:val="21"/>
              </w:rPr>
            </w:pPr>
          </w:p>
        </w:tc>
        <w:tc>
          <w:tcPr>
            <w:tcW w:w="1253" w:type="dxa"/>
            <w:vAlign w:val="center"/>
          </w:tcPr>
          <w:p w:rsidR="005D01E0" w:rsidRPr="001B2E24" w:rsidRDefault="005D01E0" w:rsidP="00185AE4">
            <w:pPr>
              <w:spacing w:after="0" w:line="240" w:lineRule="auto"/>
              <w:jc w:val="center"/>
              <w:rPr>
                <w:rFonts w:asciiTheme="majorBidi" w:hAnsiTheme="majorBidi" w:cstheme="majorBidi"/>
                <w:b/>
                <w:bCs/>
                <w:sz w:val="21"/>
                <w:szCs w:val="21"/>
              </w:rPr>
            </w:pPr>
            <w:r w:rsidRPr="001B2E24">
              <w:rPr>
                <w:rFonts w:asciiTheme="majorBidi" w:hAnsiTheme="majorBidi" w:cstheme="majorBidi"/>
                <w:color w:val="000000"/>
                <w:sz w:val="21"/>
                <w:szCs w:val="21"/>
              </w:rPr>
              <w:t>68.15%</w:t>
            </w:r>
          </w:p>
        </w:tc>
      </w:tr>
      <w:tr w:rsidR="005D01E0" w:rsidRPr="001B2E24" w:rsidTr="005D01E0">
        <w:tc>
          <w:tcPr>
            <w:tcW w:w="3828" w:type="dxa"/>
            <w:vAlign w:val="center"/>
          </w:tcPr>
          <w:p w:rsidR="005D01E0" w:rsidRPr="001B2E24" w:rsidRDefault="005D01E0" w:rsidP="00185AE4">
            <w:pPr>
              <w:spacing w:after="0" w:line="240" w:lineRule="auto"/>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Number of companies used in model</w:t>
            </w:r>
          </w:p>
        </w:tc>
        <w:tc>
          <w:tcPr>
            <w:tcW w:w="1148"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2</w:t>
            </w:r>
            <w:r w:rsidR="003F4029" w:rsidRPr="001B2E24">
              <w:rPr>
                <w:rFonts w:asciiTheme="majorBidi" w:hAnsiTheme="majorBidi" w:cstheme="majorBidi"/>
                <w:color w:val="000000"/>
                <w:sz w:val="21"/>
                <w:szCs w:val="21"/>
              </w:rPr>
              <w:t>,</w:t>
            </w:r>
            <w:r w:rsidRPr="001B2E24">
              <w:rPr>
                <w:rFonts w:asciiTheme="majorBidi" w:hAnsiTheme="majorBidi" w:cstheme="majorBidi"/>
                <w:color w:val="000000"/>
                <w:sz w:val="21"/>
                <w:szCs w:val="21"/>
              </w:rPr>
              <w:t>214</w:t>
            </w:r>
          </w:p>
        </w:tc>
        <w:tc>
          <w:tcPr>
            <w:tcW w:w="1070"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w:t>
            </w:r>
            <w:r w:rsidR="003F4029" w:rsidRPr="001B2E24">
              <w:rPr>
                <w:rFonts w:asciiTheme="majorBidi" w:hAnsiTheme="majorBidi" w:cstheme="majorBidi"/>
                <w:color w:val="000000"/>
                <w:sz w:val="21"/>
                <w:szCs w:val="21"/>
              </w:rPr>
              <w:t>,</w:t>
            </w:r>
            <w:r w:rsidRPr="001B2E24">
              <w:rPr>
                <w:rFonts w:asciiTheme="majorBidi" w:hAnsiTheme="majorBidi" w:cstheme="majorBidi"/>
                <w:color w:val="000000"/>
                <w:sz w:val="21"/>
                <w:szCs w:val="21"/>
              </w:rPr>
              <w:t>972</w:t>
            </w:r>
          </w:p>
        </w:tc>
        <w:tc>
          <w:tcPr>
            <w:tcW w:w="1070"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2</w:t>
            </w:r>
            <w:r w:rsidR="003F4029" w:rsidRPr="001B2E24">
              <w:rPr>
                <w:rFonts w:asciiTheme="majorBidi" w:hAnsiTheme="majorBidi" w:cstheme="majorBidi"/>
                <w:color w:val="000000"/>
                <w:sz w:val="21"/>
                <w:szCs w:val="21"/>
              </w:rPr>
              <w:t>,</w:t>
            </w:r>
            <w:r w:rsidRPr="001B2E24">
              <w:rPr>
                <w:rFonts w:asciiTheme="majorBidi" w:hAnsiTheme="majorBidi" w:cstheme="majorBidi"/>
                <w:color w:val="000000"/>
                <w:sz w:val="21"/>
                <w:szCs w:val="21"/>
              </w:rPr>
              <w:t>016</w:t>
            </w:r>
          </w:p>
        </w:tc>
        <w:tc>
          <w:tcPr>
            <w:tcW w:w="1129"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1</w:t>
            </w:r>
            <w:r w:rsidR="003F4029" w:rsidRPr="001B2E24">
              <w:rPr>
                <w:rFonts w:asciiTheme="majorBidi" w:hAnsiTheme="majorBidi" w:cstheme="majorBidi"/>
                <w:color w:val="000000"/>
                <w:sz w:val="21"/>
                <w:szCs w:val="21"/>
              </w:rPr>
              <w:t>,</w:t>
            </w:r>
            <w:r w:rsidRPr="001B2E24">
              <w:rPr>
                <w:rFonts w:asciiTheme="majorBidi" w:hAnsiTheme="majorBidi" w:cstheme="majorBidi"/>
                <w:color w:val="000000"/>
                <w:sz w:val="21"/>
                <w:szCs w:val="21"/>
              </w:rPr>
              <w:t>920</w:t>
            </w:r>
          </w:p>
        </w:tc>
        <w:tc>
          <w:tcPr>
            <w:tcW w:w="277" w:type="dxa"/>
            <w:vAlign w:val="center"/>
          </w:tcPr>
          <w:p w:rsidR="005D01E0" w:rsidRPr="001B2E24" w:rsidRDefault="005D01E0" w:rsidP="00185AE4">
            <w:pPr>
              <w:spacing w:after="0" w:line="240" w:lineRule="auto"/>
              <w:jc w:val="center"/>
              <w:rPr>
                <w:rFonts w:asciiTheme="majorBidi" w:hAnsiTheme="majorBidi" w:cstheme="majorBidi"/>
                <w:b/>
                <w:bCs/>
                <w:sz w:val="21"/>
                <w:szCs w:val="21"/>
              </w:rPr>
            </w:pPr>
          </w:p>
        </w:tc>
        <w:tc>
          <w:tcPr>
            <w:tcW w:w="1253" w:type="dxa"/>
            <w:vAlign w:val="center"/>
          </w:tcPr>
          <w:p w:rsidR="005D01E0" w:rsidRPr="001B2E24" w:rsidRDefault="005D01E0" w:rsidP="00185AE4">
            <w:pPr>
              <w:spacing w:after="0" w:line="240" w:lineRule="auto"/>
              <w:jc w:val="center"/>
              <w:rPr>
                <w:rFonts w:asciiTheme="majorBidi" w:hAnsiTheme="majorBidi" w:cstheme="majorBidi"/>
                <w:b/>
                <w:bCs/>
                <w:sz w:val="21"/>
                <w:szCs w:val="21"/>
              </w:rPr>
            </w:pPr>
            <w:r w:rsidRPr="001B2E24">
              <w:rPr>
                <w:rFonts w:asciiTheme="majorBidi" w:hAnsiTheme="majorBidi" w:cstheme="majorBidi"/>
                <w:color w:val="000000"/>
                <w:sz w:val="21"/>
                <w:szCs w:val="21"/>
              </w:rPr>
              <w:t>2</w:t>
            </w:r>
            <w:r w:rsidR="003F4029" w:rsidRPr="001B2E24">
              <w:rPr>
                <w:rFonts w:asciiTheme="majorBidi" w:hAnsiTheme="majorBidi" w:cstheme="majorBidi"/>
                <w:color w:val="000000"/>
                <w:sz w:val="21"/>
                <w:szCs w:val="21"/>
              </w:rPr>
              <w:t>,</w:t>
            </w:r>
            <w:r w:rsidRPr="001B2E24">
              <w:rPr>
                <w:rFonts w:asciiTheme="majorBidi" w:hAnsiTheme="majorBidi" w:cstheme="majorBidi"/>
                <w:color w:val="000000"/>
                <w:sz w:val="21"/>
                <w:szCs w:val="21"/>
              </w:rPr>
              <w:t>030.5</w:t>
            </w:r>
          </w:p>
        </w:tc>
      </w:tr>
      <w:tr w:rsidR="005D01E0" w:rsidRPr="001B2E24" w:rsidTr="005D01E0">
        <w:tc>
          <w:tcPr>
            <w:tcW w:w="3828" w:type="dxa"/>
            <w:vAlign w:val="center"/>
          </w:tcPr>
          <w:p w:rsidR="005D01E0" w:rsidRPr="001B2E24" w:rsidRDefault="005D01E0" w:rsidP="00185AE4">
            <w:pPr>
              <w:spacing w:after="0" w:line="240" w:lineRule="auto"/>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Portfolio Size</w:t>
            </w:r>
          </w:p>
        </w:tc>
        <w:tc>
          <w:tcPr>
            <w:tcW w:w="1148"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966</w:t>
            </w:r>
          </w:p>
        </w:tc>
        <w:tc>
          <w:tcPr>
            <w:tcW w:w="1070"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957</w:t>
            </w:r>
          </w:p>
        </w:tc>
        <w:tc>
          <w:tcPr>
            <w:tcW w:w="1070"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952</w:t>
            </w:r>
          </w:p>
        </w:tc>
        <w:tc>
          <w:tcPr>
            <w:tcW w:w="1129"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957</w:t>
            </w:r>
          </w:p>
        </w:tc>
        <w:tc>
          <w:tcPr>
            <w:tcW w:w="277" w:type="dxa"/>
            <w:vAlign w:val="center"/>
          </w:tcPr>
          <w:p w:rsidR="005D01E0" w:rsidRPr="001B2E24" w:rsidRDefault="005D01E0" w:rsidP="00185AE4">
            <w:pPr>
              <w:spacing w:after="0" w:line="240" w:lineRule="auto"/>
              <w:jc w:val="center"/>
              <w:rPr>
                <w:rFonts w:asciiTheme="majorBidi" w:hAnsiTheme="majorBidi" w:cstheme="majorBidi"/>
                <w:b/>
                <w:bCs/>
                <w:sz w:val="21"/>
                <w:szCs w:val="21"/>
              </w:rPr>
            </w:pPr>
          </w:p>
        </w:tc>
        <w:tc>
          <w:tcPr>
            <w:tcW w:w="1253" w:type="dxa"/>
            <w:vAlign w:val="center"/>
          </w:tcPr>
          <w:p w:rsidR="005D01E0" w:rsidRPr="001B2E24" w:rsidRDefault="005D01E0" w:rsidP="00185AE4">
            <w:pPr>
              <w:spacing w:after="0" w:line="240" w:lineRule="auto"/>
              <w:jc w:val="center"/>
              <w:rPr>
                <w:rFonts w:asciiTheme="majorBidi" w:hAnsiTheme="majorBidi" w:cstheme="majorBidi"/>
                <w:b/>
                <w:bCs/>
                <w:sz w:val="21"/>
                <w:szCs w:val="21"/>
              </w:rPr>
            </w:pPr>
            <w:r w:rsidRPr="001B2E24">
              <w:rPr>
                <w:rFonts w:asciiTheme="majorBidi" w:hAnsiTheme="majorBidi" w:cstheme="majorBidi"/>
                <w:color w:val="000000"/>
                <w:sz w:val="21"/>
                <w:szCs w:val="21"/>
              </w:rPr>
              <w:t>958</w:t>
            </w:r>
          </w:p>
        </w:tc>
      </w:tr>
      <w:tr w:rsidR="005D01E0" w:rsidRPr="001B2E24" w:rsidTr="005D01E0">
        <w:tc>
          <w:tcPr>
            <w:tcW w:w="3828" w:type="dxa"/>
            <w:vAlign w:val="center"/>
          </w:tcPr>
          <w:p w:rsidR="005D01E0" w:rsidRPr="001B2E24" w:rsidRDefault="005D01E0" w:rsidP="00185AE4">
            <w:pPr>
              <w:spacing w:after="0" w:line="240" w:lineRule="auto"/>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Percentage of Portfolio size</w:t>
            </w:r>
          </w:p>
        </w:tc>
        <w:tc>
          <w:tcPr>
            <w:tcW w:w="1148"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43.63%</w:t>
            </w:r>
          </w:p>
        </w:tc>
        <w:tc>
          <w:tcPr>
            <w:tcW w:w="1070"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48.53%</w:t>
            </w:r>
          </w:p>
        </w:tc>
        <w:tc>
          <w:tcPr>
            <w:tcW w:w="1070"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47.22%</w:t>
            </w:r>
          </w:p>
        </w:tc>
        <w:tc>
          <w:tcPr>
            <w:tcW w:w="1129" w:type="dxa"/>
            <w:vAlign w:val="center"/>
          </w:tcPr>
          <w:p w:rsidR="005D01E0" w:rsidRPr="001B2E24" w:rsidRDefault="005D01E0" w:rsidP="00185AE4">
            <w:pPr>
              <w:spacing w:after="0" w:line="240" w:lineRule="auto"/>
              <w:jc w:val="center"/>
              <w:rPr>
                <w:rFonts w:asciiTheme="majorBidi" w:hAnsiTheme="majorBidi" w:cstheme="majorBidi"/>
                <w:color w:val="000000"/>
                <w:sz w:val="21"/>
                <w:szCs w:val="21"/>
              </w:rPr>
            </w:pPr>
            <w:r w:rsidRPr="001B2E24">
              <w:rPr>
                <w:rFonts w:asciiTheme="majorBidi" w:hAnsiTheme="majorBidi" w:cstheme="majorBidi"/>
                <w:color w:val="000000"/>
                <w:sz w:val="21"/>
                <w:szCs w:val="21"/>
              </w:rPr>
              <w:t>49.84%</w:t>
            </w:r>
          </w:p>
        </w:tc>
        <w:tc>
          <w:tcPr>
            <w:tcW w:w="277" w:type="dxa"/>
            <w:vAlign w:val="center"/>
          </w:tcPr>
          <w:p w:rsidR="005D01E0" w:rsidRPr="001B2E24" w:rsidRDefault="005D01E0" w:rsidP="00185AE4">
            <w:pPr>
              <w:spacing w:after="0" w:line="240" w:lineRule="auto"/>
              <w:jc w:val="center"/>
              <w:rPr>
                <w:rFonts w:asciiTheme="majorBidi" w:hAnsiTheme="majorBidi" w:cstheme="majorBidi"/>
                <w:b/>
                <w:bCs/>
                <w:sz w:val="21"/>
                <w:szCs w:val="21"/>
              </w:rPr>
            </w:pPr>
          </w:p>
        </w:tc>
        <w:tc>
          <w:tcPr>
            <w:tcW w:w="1253" w:type="dxa"/>
            <w:vAlign w:val="center"/>
          </w:tcPr>
          <w:p w:rsidR="005D01E0" w:rsidRPr="001B2E24" w:rsidRDefault="005D01E0" w:rsidP="00185AE4">
            <w:pPr>
              <w:spacing w:after="0" w:line="240" w:lineRule="auto"/>
              <w:jc w:val="center"/>
              <w:rPr>
                <w:rFonts w:asciiTheme="majorBidi" w:hAnsiTheme="majorBidi" w:cstheme="majorBidi"/>
                <w:b/>
                <w:bCs/>
                <w:sz w:val="21"/>
                <w:szCs w:val="21"/>
              </w:rPr>
            </w:pPr>
            <w:r w:rsidRPr="001B2E24">
              <w:rPr>
                <w:rFonts w:asciiTheme="majorBidi" w:hAnsiTheme="majorBidi" w:cstheme="majorBidi"/>
                <w:color w:val="000000"/>
                <w:sz w:val="21"/>
                <w:szCs w:val="21"/>
              </w:rPr>
              <w:t>47.31%</w:t>
            </w:r>
          </w:p>
        </w:tc>
      </w:tr>
    </w:tbl>
    <w:p w:rsidR="00707C3A" w:rsidRPr="001B2E24" w:rsidRDefault="00637394"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However, </w:t>
      </w:r>
      <w:r w:rsidR="00267542" w:rsidRPr="001B2E24">
        <w:rPr>
          <w:rFonts w:asciiTheme="majorBidi" w:hAnsiTheme="majorBidi" w:cstheme="majorBidi"/>
          <w:sz w:val="21"/>
          <w:szCs w:val="21"/>
        </w:rPr>
        <w:t xml:space="preserve">the </w:t>
      </w:r>
      <w:r w:rsidR="003F4029" w:rsidRPr="001B2E24">
        <w:rPr>
          <w:rFonts w:asciiTheme="majorBidi" w:hAnsiTheme="majorBidi" w:cstheme="majorBidi"/>
          <w:sz w:val="21"/>
          <w:szCs w:val="21"/>
        </w:rPr>
        <w:t>principal issue</w:t>
      </w:r>
      <w:r w:rsidR="00267542" w:rsidRPr="001B2E24">
        <w:rPr>
          <w:rFonts w:asciiTheme="majorBidi" w:hAnsiTheme="majorBidi" w:cstheme="majorBidi"/>
          <w:sz w:val="21"/>
          <w:szCs w:val="21"/>
        </w:rPr>
        <w:t xml:space="preserve"> is</w:t>
      </w:r>
      <w:r w:rsidRPr="001B2E24">
        <w:rPr>
          <w:rFonts w:asciiTheme="majorBidi" w:hAnsiTheme="majorBidi" w:cstheme="majorBidi"/>
          <w:sz w:val="21"/>
          <w:szCs w:val="21"/>
        </w:rPr>
        <w:t xml:space="preserve"> </w:t>
      </w:r>
      <w:r w:rsidR="0082737F" w:rsidRPr="001B2E24">
        <w:rPr>
          <w:rFonts w:asciiTheme="majorBidi" w:hAnsiTheme="majorBidi" w:cstheme="majorBidi"/>
          <w:sz w:val="21"/>
          <w:szCs w:val="21"/>
        </w:rPr>
        <w:t>the significant change is in the</w:t>
      </w:r>
      <w:r w:rsidRPr="001B2E24">
        <w:rPr>
          <w:rFonts w:asciiTheme="majorBidi" w:hAnsiTheme="majorBidi" w:cstheme="majorBidi"/>
          <w:sz w:val="21"/>
          <w:szCs w:val="21"/>
        </w:rPr>
        <w:t xml:space="preserve"> number of companies</w:t>
      </w:r>
      <w:r w:rsidR="00DE5C27" w:rsidRPr="001B2E24">
        <w:rPr>
          <w:rFonts w:asciiTheme="majorBidi" w:hAnsiTheme="majorBidi" w:cstheme="majorBidi"/>
          <w:sz w:val="21"/>
          <w:szCs w:val="21"/>
        </w:rPr>
        <w:t xml:space="preserve"> utilized. T</w:t>
      </w:r>
      <w:r w:rsidR="0082737F" w:rsidRPr="001B2E24">
        <w:rPr>
          <w:rFonts w:asciiTheme="majorBidi" w:hAnsiTheme="majorBidi" w:cstheme="majorBidi"/>
          <w:sz w:val="21"/>
          <w:szCs w:val="21"/>
        </w:rPr>
        <w:t xml:space="preserve">he number of companies </w:t>
      </w:r>
      <w:r w:rsidR="00267542" w:rsidRPr="001B2E24">
        <w:rPr>
          <w:rFonts w:asciiTheme="majorBidi" w:hAnsiTheme="majorBidi" w:cstheme="majorBidi"/>
          <w:sz w:val="21"/>
          <w:szCs w:val="21"/>
        </w:rPr>
        <w:t>utilized</w:t>
      </w:r>
      <w:r w:rsidR="0082737F" w:rsidRPr="001B2E24">
        <w:rPr>
          <w:rFonts w:asciiTheme="majorBidi" w:hAnsiTheme="majorBidi" w:cstheme="majorBidi"/>
          <w:sz w:val="21"/>
          <w:szCs w:val="21"/>
        </w:rPr>
        <w:t xml:space="preserve"> in the models increased on average by </w:t>
      </w:r>
      <w:r w:rsidR="0003623C" w:rsidRPr="001B2E24">
        <w:rPr>
          <w:rFonts w:asciiTheme="majorBidi" w:hAnsiTheme="majorBidi" w:cstheme="majorBidi"/>
          <w:sz w:val="21"/>
          <w:szCs w:val="21"/>
        </w:rPr>
        <w:t xml:space="preserve">144% (see table 4) and now the model utilized about 56% (an average of 2,030 companies) of the </w:t>
      </w:r>
      <w:r w:rsidR="00267542" w:rsidRPr="001B2E24">
        <w:rPr>
          <w:rFonts w:asciiTheme="majorBidi" w:hAnsiTheme="majorBidi" w:cstheme="majorBidi"/>
          <w:sz w:val="21"/>
          <w:szCs w:val="21"/>
        </w:rPr>
        <w:t>entire sample</w:t>
      </w:r>
      <w:r w:rsidR="0003623C" w:rsidRPr="001B2E24">
        <w:rPr>
          <w:rFonts w:asciiTheme="majorBidi" w:hAnsiTheme="majorBidi" w:cstheme="majorBidi"/>
          <w:sz w:val="21"/>
          <w:szCs w:val="21"/>
        </w:rPr>
        <w:t xml:space="preserve"> (3,603 companies, see Table 1), where </w:t>
      </w:r>
      <w:r w:rsidR="00267542" w:rsidRPr="001B2E24">
        <w:rPr>
          <w:rFonts w:asciiTheme="majorBidi" w:hAnsiTheme="majorBidi" w:cstheme="majorBidi"/>
          <w:sz w:val="21"/>
          <w:szCs w:val="21"/>
        </w:rPr>
        <w:t>with the previous models</w:t>
      </w:r>
      <w:r w:rsidR="0003623C" w:rsidRPr="001B2E24">
        <w:rPr>
          <w:rFonts w:asciiTheme="majorBidi" w:hAnsiTheme="majorBidi" w:cstheme="majorBidi"/>
          <w:sz w:val="21"/>
          <w:szCs w:val="21"/>
        </w:rPr>
        <w:t xml:space="preserve"> only </w:t>
      </w:r>
      <w:r w:rsidRPr="001B2E24">
        <w:rPr>
          <w:rFonts w:asciiTheme="majorBidi" w:hAnsiTheme="majorBidi" w:cstheme="majorBidi"/>
          <w:sz w:val="21"/>
          <w:szCs w:val="21"/>
        </w:rPr>
        <w:t xml:space="preserve">23.1% was used (an average of 833 companies) in determining the models. </w:t>
      </w:r>
      <w:r w:rsidR="000442DA" w:rsidRPr="001B2E24">
        <w:rPr>
          <w:rFonts w:asciiTheme="majorBidi" w:hAnsiTheme="majorBidi" w:cstheme="majorBidi"/>
          <w:sz w:val="21"/>
          <w:szCs w:val="21"/>
        </w:rPr>
        <w:t>T</w:t>
      </w:r>
      <w:r w:rsidRPr="001B2E24">
        <w:rPr>
          <w:rFonts w:asciiTheme="majorBidi" w:hAnsiTheme="majorBidi" w:cstheme="majorBidi"/>
          <w:sz w:val="21"/>
          <w:szCs w:val="21"/>
        </w:rPr>
        <w:t xml:space="preserve">he models </w:t>
      </w:r>
      <w:r w:rsidR="000442DA" w:rsidRPr="001B2E24">
        <w:rPr>
          <w:rFonts w:asciiTheme="majorBidi" w:hAnsiTheme="majorBidi" w:cstheme="majorBidi"/>
          <w:sz w:val="21"/>
          <w:szCs w:val="21"/>
        </w:rPr>
        <w:t xml:space="preserve">with the full data were also </w:t>
      </w:r>
      <w:r w:rsidRPr="001B2E24">
        <w:rPr>
          <w:rFonts w:asciiTheme="majorBidi" w:hAnsiTheme="majorBidi" w:cstheme="majorBidi"/>
          <w:sz w:val="21"/>
          <w:szCs w:val="21"/>
        </w:rPr>
        <w:t>able to classify an average of 4</w:t>
      </w:r>
      <w:r w:rsidR="000442DA" w:rsidRPr="001B2E24">
        <w:rPr>
          <w:rFonts w:asciiTheme="majorBidi" w:hAnsiTheme="majorBidi" w:cstheme="majorBidi"/>
          <w:sz w:val="21"/>
          <w:szCs w:val="21"/>
        </w:rPr>
        <w:t>7</w:t>
      </w:r>
      <w:r w:rsidRPr="001B2E24">
        <w:rPr>
          <w:rFonts w:asciiTheme="majorBidi" w:hAnsiTheme="majorBidi" w:cstheme="majorBidi"/>
          <w:sz w:val="21"/>
          <w:szCs w:val="21"/>
        </w:rPr>
        <w:t>%</w:t>
      </w:r>
      <w:r w:rsidR="000442DA" w:rsidRPr="001B2E24">
        <w:rPr>
          <w:rFonts w:asciiTheme="majorBidi" w:hAnsiTheme="majorBidi" w:cstheme="majorBidi"/>
          <w:sz w:val="21"/>
          <w:szCs w:val="21"/>
        </w:rPr>
        <w:t xml:space="preserve"> of the companies </w:t>
      </w:r>
      <w:r w:rsidR="00267542" w:rsidRPr="001B2E24">
        <w:rPr>
          <w:rFonts w:asciiTheme="majorBidi" w:hAnsiTheme="majorBidi" w:cstheme="majorBidi"/>
          <w:sz w:val="21"/>
          <w:szCs w:val="21"/>
        </w:rPr>
        <w:t xml:space="preserve">utilized, </w:t>
      </w:r>
      <w:r w:rsidR="000442DA" w:rsidRPr="001B2E24">
        <w:rPr>
          <w:rFonts w:asciiTheme="majorBidi" w:hAnsiTheme="majorBidi" w:cstheme="majorBidi"/>
          <w:sz w:val="21"/>
          <w:szCs w:val="21"/>
        </w:rPr>
        <w:t>compare</w:t>
      </w:r>
      <w:r w:rsidR="00267542" w:rsidRPr="001B2E24">
        <w:rPr>
          <w:rFonts w:asciiTheme="majorBidi" w:hAnsiTheme="majorBidi" w:cstheme="majorBidi"/>
          <w:sz w:val="21"/>
          <w:szCs w:val="21"/>
        </w:rPr>
        <w:t>d</w:t>
      </w:r>
      <w:r w:rsidR="000442DA" w:rsidRPr="001B2E24">
        <w:rPr>
          <w:rFonts w:asciiTheme="majorBidi" w:hAnsiTheme="majorBidi" w:cstheme="majorBidi"/>
          <w:sz w:val="21"/>
          <w:szCs w:val="21"/>
        </w:rPr>
        <w:t xml:space="preserve"> to the </w:t>
      </w:r>
      <w:r w:rsidR="00267542" w:rsidRPr="001B2E24">
        <w:rPr>
          <w:rFonts w:asciiTheme="majorBidi" w:hAnsiTheme="majorBidi" w:cstheme="majorBidi"/>
          <w:sz w:val="21"/>
          <w:szCs w:val="21"/>
        </w:rPr>
        <w:t xml:space="preserve">previous models which classified only </w:t>
      </w:r>
      <w:r w:rsidR="000442DA" w:rsidRPr="001B2E24">
        <w:rPr>
          <w:rFonts w:asciiTheme="majorBidi" w:hAnsiTheme="majorBidi" w:cstheme="majorBidi"/>
          <w:sz w:val="21"/>
          <w:szCs w:val="21"/>
        </w:rPr>
        <w:t>42%</w:t>
      </w:r>
      <w:r w:rsidRPr="001B2E24">
        <w:rPr>
          <w:rFonts w:asciiTheme="majorBidi" w:hAnsiTheme="majorBidi" w:cstheme="majorBidi"/>
          <w:sz w:val="21"/>
          <w:szCs w:val="21"/>
        </w:rPr>
        <w:t>.</w:t>
      </w:r>
      <w:r w:rsidR="000442DA" w:rsidRPr="001B2E24">
        <w:rPr>
          <w:rFonts w:asciiTheme="majorBidi" w:hAnsiTheme="majorBidi" w:cstheme="majorBidi"/>
          <w:sz w:val="21"/>
          <w:szCs w:val="21"/>
        </w:rPr>
        <w:t xml:space="preserve"> </w:t>
      </w:r>
      <w:r w:rsidR="00707C3A" w:rsidRPr="001B2E24">
        <w:rPr>
          <w:rFonts w:asciiTheme="majorBidi" w:hAnsiTheme="majorBidi" w:cstheme="majorBidi"/>
          <w:sz w:val="21"/>
          <w:szCs w:val="21"/>
        </w:rPr>
        <w:t xml:space="preserve">Of the </w:t>
      </w:r>
      <w:r w:rsidR="0017554E" w:rsidRPr="001B2E24">
        <w:rPr>
          <w:rFonts w:asciiTheme="majorBidi" w:hAnsiTheme="majorBidi" w:cstheme="majorBidi"/>
          <w:sz w:val="21"/>
          <w:szCs w:val="21"/>
        </w:rPr>
        <w:t xml:space="preserve">entire sample of </w:t>
      </w:r>
      <w:r w:rsidR="00707C3A" w:rsidRPr="001B2E24">
        <w:rPr>
          <w:rFonts w:asciiTheme="majorBidi" w:hAnsiTheme="majorBidi" w:cstheme="majorBidi"/>
          <w:sz w:val="21"/>
          <w:szCs w:val="21"/>
        </w:rPr>
        <w:t>3,603 companies, more than 26% were classified by the models</w:t>
      </w:r>
      <w:r w:rsidR="0017554E" w:rsidRPr="001B2E24">
        <w:rPr>
          <w:rFonts w:asciiTheme="majorBidi" w:hAnsiTheme="majorBidi" w:cstheme="majorBidi"/>
          <w:sz w:val="21"/>
          <w:szCs w:val="21"/>
        </w:rPr>
        <w:t xml:space="preserve"> with the full data</w:t>
      </w:r>
      <w:r w:rsidR="00707C3A" w:rsidRPr="001B2E24">
        <w:rPr>
          <w:rFonts w:asciiTheme="majorBidi" w:hAnsiTheme="majorBidi" w:cstheme="majorBidi"/>
          <w:sz w:val="21"/>
          <w:szCs w:val="21"/>
        </w:rPr>
        <w:t xml:space="preserve">, as opposed to less than 10% </w:t>
      </w:r>
      <w:r w:rsidR="0017554E" w:rsidRPr="001B2E24">
        <w:rPr>
          <w:rFonts w:asciiTheme="majorBidi" w:hAnsiTheme="majorBidi" w:cstheme="majorBidi"/>
          <w:sz w:val="21"/>
          <w:szCs w:val="21"/>
        </w:rPr>
        <w:t>classified by the previous models</w:t>
      </w:r>
      <w:r w:rsidR="00707C3A" w:rsidRPr="001B2E24">
        <w:rPr>
          <w:rFonts w:asciiTheme="majorBidi" w:hAnsiTheme="majorBidi" w:cstheme="majorBidi"/>
          <w:sz w:val="21"/>
          <w:szCs w:val="21"/>
        </w:rPr>
        <w:t>.</w:t>
      </w:r>
    </w:p>
    <w:p w:rsidR="00637394" w:rsidRPr="001B2E24" w:rsidRDefault="000442DA"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The implication of th</w:t>
      </w:r>
      <w:r w:rsidR="00707C3A" w:rsidRPr="001B2E24">
        <w:rPr>
          <w:rFonts w:asciiTheme="majorBidi" w:hAnsiTheme="majorBidi" w:cstheme="majorBidi"/>
          <w:sz w:val="21"/>
          <w:szCs w:val="21"/>
        </w:rPr>
        <w:t>ese</w:t>
      </w:r>
      <w:r w:rsidRPr="001B2E24">
        <w:rPr>
          <w:rFonts w:asciiTheme="majorBidi" w:hAnsiTheme="majorBidi" w:cstheme="majorBidi"/>
          <w:sz w:val="21"/>
          <w:szCs w:val="21"/>
        </w:rPr>
        <w:t xml:space="preserve"> results </w:t>
      </w:r>
      <w:r w:rsidR="0045218F" w:rsidRPr="001B2E24">
        <w:rPr>
          <w:rFonts w:asciiTheme="majorBidi" w:hAnsiTheme="majorBidi" w:cstheme="majorBidi"/>
          <w:sz w:val="21"/>
          <w:szCs w:val="21"/>
        </w:rPr>
        <w:t>is</w:t>
      </w:r>
      <w:r w:rsidRPr="001B2E24">
        <w:rPr>
          <w:rFonts w:asciiTheme="majorBidi" w:hAnsiTheme="majorBidi" w:cstheme="majorBidi"/>
          <w:sz w:val="21"/>
          <w:szCs w:val="21"/>
        </w:rPr>
        <w:t xml:space="preserve"> that not only were the models with full data able to classify more companies</w:t>
      </w:r>
      <w:r w:rsidR="0017554E" w:rsidRPr="001B2E24">
        <w:rPr>
          <w:rFonts w:asciiTheme="majorBidi" w:hAnsiTheme="majorBidi" w:cstheme="majorBidi"/>
          <w:sz w:val="21"/>
          <w:szCs w:val="21"/>
        </w:rPr>
        <w:t>,</w:t>
      </w:r>
      <w:r w:rsidRPr="001B2E24">
        <w:rPr>
          <w:rFonts w:asciiTheme="majorBidi" w:hAnsiTheme="majorBidi" w:cstheme="majorBidi"/>
          <w:sz w:val="21"/>
          <w:szCs w:val="21"/>
        </w:rPr>
        <w:t xml:space="preserve"> they were able to this without losing </w:t>
      </w:r>
      <w:r w:rsidR="0017554E" w:rsidRPr="001B2E24">
        <w:rPr>
          <w:rFonts w:asciiTheme="majorBidi" w:hAnsiTheme="majorBidi" w:cstheme="majorBidi"/>
          <w:sz w:val="21"/>
          <w:szCs w:val="21"/>
        </w:rPr>
        <w:t>the ability to accurately classify the companies as increasing or decreasing in earnings</w:t>
      </w:r>
      <w:r w:rsidRPr="001B2E24">
        <w:rPr>
          <w:rFonts w:asciiTheme="majorBidi" w:hAnsiTheme="majorBidi" w:cstheme="majorBidi"/>
          <w:sz w:val="21"/>
          <w:szCs w:val="21"/>
        </w:rPr>
        <w:t>.</w:t>
      </w:r>
    </w:p>
    <w:p w:rsidR="0045218F" w:rsidRPr="00254D61" w:rsidRDefault="0045218F" w:rsidP="00530BF5">
      <w:pPr>
        <w:rPr>
          <w:rFonts w:asciiTheme="majorBidi" w:hAnsiTheme="majorBidi" w:cstheme="majorBidi"/>
          <w:sz w:val="24"/>
          <w:szCs w:val="24"/>
        </w:rPr>
      </w:pPr>
    </w:p>
    <w:p w:rsidR="003F4029" w:rsidRPr="00254D61" w:rsidRDefault="003F4029" w:rsidP="00420450">
      <w:pPr>
        <w:pStyle w:val="1"/>
      </w:pPr>
      <w:r w:rsidRPr="00254D61">
        <w:t>DISSMEINATION INTO INDUSTRIES</w:t>
      </w:r>
    </w:p>
    <w:p w:rsidR="00FD50A5" w:rsidRPr="001B2E24" w:rsidRDefault="003F4029"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Disseminating the data into industry, and only then applying the imputation method described, did not increase the accuracy of the predictive ability of the model, </w:t>
      </w:r>
      <w:r w:rsidR="00FD50A5" w:rsidRPr="001B2E24">
        <w:rPr>
          <w:rFonts w:asciiTheme="majorBidi" w:hAnsiTheme="majorBidi" w:cstheme="majorBidi"/>
          <w:sz w:val="21"/>
          <w:szCs w:val="21"/>
        </w:rPr>
        <w:t xml:space="preserve">however, </w:t>
      </w:r>
      <w:r w:rsidRPr="001B2E24">
        <w:rPr>
          <w:rFonts w:asciiTheme="majorBidi" w:hAnsiTheme="majorBidi" w:cstheme="majorBidi"/>
          <w:sz w:val="21"/>
          <w:szCs w:val="21"/>
        </w:rPr>
        <w:t>it did increase the number of companies used in the portfolio and in the final models.</w:t>
      </w:r>
    </w:p>
    <w:p w:rsidR="00FD50A5" w:rsidRPr="001B2E24" w:rsidRDefault="00FD50A5"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The average accuracy of the eight models, based on the eight industries, was only 67.32%, which, although similar to previous models </w:t>
      </w:r>
      <w:r w:rsidRPr="001B2E24">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"10.1057/palgrave.jam.2240044", "ISBN" : "14708272", "ISSN" : "1470-8272", "PMID" : "194561092", "abstract" : "The greater interest apparent in the recent academic literature in the impact of corporate earnings information on the valuation of shares has prompted an updating of the seminal work of Ou and Penman (1989) on the role that accounting information can play in predicting future movements in earnings relative to expectations. The Ou and Penman analysis has also been extended by considering two measures of expectations; by covering a more recent time period; by encompassing the UK and Australian markets in addition to the US market; and by applying a new methodology for developing the forecasting models. The study found that a model based on accounting information retains merit as a means of forecasting movements in trend-adjusted earnings, but that these forecasts no longer provide the basis for a profitable investment strategy. The models used to forecast earnings surprise gave mixed results, but nonetheless, some of the resulting investment strategies were consistently profitable.", "author" : [ { "dropping-particle" : "", "family" : "Bird", "given" : "Ron", "non-dropping-particle" : "", "parse-names" : false, "suffix" : "" }, { "dropping-particle" : "", "family" : "Gerlach", "given" : "Richard", "non-dropping-particle" : "", "parse-names" : false, "suffix" : "" }, { "dropping-particle" : "", "family" : "Hall", "given" : "A.D.", "non-dropping-particle" : "", "parse-names" : false, "suffix" : "" } ], "container-title" : "Journal of Asset Management", "id" : "ITEM-1", "issue" : "2", "issued" : { "date-parts" : [ [ "2001" ] ] }, "page" : "180-195", "title" : "'The prediction of earnings movements using accounting data: An update and extension of Ou and Penman' -- a response", "type" : "article-journal", "volume" : "2" }, "uris" : [ "http://www.mendeley.com/documents/?uuid=8277b378-9592-43af-b906-491c5377ef29" ] }, { "id" : "ITEM-2",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"ITEM-2", "issue" : "4", "issued" : { "date-parts" : [ [ "1989" ] ] }, "page" : "295-329", "title" : "Financial statement analysis and the prediction of stock returns", "type" : "article-journal", "volume" : "11" }, "uris" : [ "http://www.mendeley.com/documents/?uuid=828c6208-675d-42c4-87a3-09590a2da7da" ] } ], "mendeley" : { "formattedCitation" : "(Bird et al., 2001; Ou &amp; Penman, 1989)", "plainTextFormattedCitation" : "(Bird et al., 2001; Ou &amp; Penman, 1989)", "previouslyFormattedCitation" : "(Bird et al., 2001; Ou &amp; Penman, 1989)" }, "properties" : {  }, "schema" : "https://github.com/citation-style-language/schema/raw/master/csl-citation.json" }</w:instrText>
      </w:r>
      <w:r w:rsidRPr="001B2E24">
        <w:rPr>
          <w:rFonts w:asciiTheme="majorBidi" w:hAnsiTheme="majorBidi" w:cstheme="majorBidi"/>
          <w:sz w:val="21"/>
          <w:szCs w:val="21"/>
        </w:rPr>
        <w:fldChar w:fldCharType="separate"/>
      </w:r>
      <w:r w:rsidRPr="001B2E24">
        <w:rPr>
          <w:rFonts w:asciiTheme="majorBidi" w:hAnsiTheme="majorBidi" w:cstheme="majorBidi"/>
          <w:noProof/>
          <w:sz w:val="21"/>
          <w:szCs w:val="21"/>
        </w:rPr>
        <w:t>(Bird et al., 2001; Ou &amp; Penman, 1989)</w:t>
      </w:r>
      <w:r w:rsidRPr="001B2E24">
        <w:rPr>
          <w:rFonts w:asciiTheme="majorBidi" w:hAnsiTheme="majorBidi" w:cstheme="majorBidi"/>
          <w:sz w:val="21"/>
          <w:szCs w:val="21"/>
        </w:rPr>
        <w:fldChar w:fldCharType="end"/>
      </w:r>
      <w:r w:rsidRPr="001B2E24">
        <w:rPr>
          <w:rFonts w:asciiTheme="majorBidi" w:hAnsiTheme="majorBidi" w:cstheme="majorBidi"/>
          <w:sz w:val="21"/>
          <w:szCs w:val="21"/>
        </w:rPr>
        <w:t xml:space="preserve"> is lower than the accuracy of the entire full sample which was 68.15% (presented in table 6).</w:t>
      </w:r>
    </w:p>
    <w:p w:rsidR="00DE5C27" w:rsidRPr="001B2E24" w:rsidRDefault="00FD50A5"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However, here as well, the principal issue is </w:t>
      </w:r>
      <w:r w:rsidR="00DE5C27" w:rsidRPr="001B2E24">
        <w:rPr>
          <w:rFonts w:asciiTheme="majorBidi" w:hAnsiTheme="majorBidi" w:cstheme="majorBidi"/>
          <w:sz w:val="21"/>
          <w:szCs w:val="21"/>
        </w:rPr>
        <w:t xml:space="preserve">the </w:t>
      </w:r>
      <w:r w:rsidR="0006641E" w:rsidRPr="001B2E24">
        <w:rPr>
          <w:rFonts w:asciiTheme="majorBidi" w:hAnsiTheme="majorBidi" w:cstheme="majorBidi"/>
          <w:sz w:val="21"/>
          <w:szCs w:val="21"/>
        </w:rPr>
        <w:t xml:space="preserve">change </w:t>
      </w:r>
      <w:r w:rsidR="00DE5C27" w:rsidRPr="001B2E24">
        <w:rPr>
          <w:rFonts w:asciiTheme="majorBidi" w:hAnsiTheme="majorBidi" w:cstheme="majorBidi"/>
          <w:sz w:val="21"/>
          <w:szCs w:val="21"/>
        </w:rPr>
        <w:t xml:space="preserve">in the number of companies utilized. The number of companies utilized in </w:t>
      </w:r>
      <w:r w:rsidR="0006641E" w:rsidRPr="001B2E24">
        <w:rPr>
          <w:rFonts w:asciiTheme="majorBidi" w:hAnsiTheme="majorBidi" w:cstheme="majorBidi"/>
          <w:sz w:val="21"/>
          <w:szCs w:val="21"/>
        </w:rPr>
        <w:t xml:space="preserve">all </w:t>
      </w:r>
      <w:r w:rsidR="00DE5C27" w:rsidRPr="001B2E24">
        <w:rPr>
          <w:rFonts w:asciiTheme="majorBidi" w:hAnsiTheme="majorBidi" w:cstheme="majorBidi"/>
          <w:sz w:val="21"/>
          <w:szCs w:val="21"/>
        </w:rPr>
        <w:t xml:space="preserve">the </w:t>
      </w:r>
      <w:r w:rsidR="0006641E" w:rsidRPr="001B2E24">
        <w:rPr>
          <w:rFonts w:asciiTheme="majorBidi" w:hAnsiTheme="majorBidi" w:cstheme="majorBidi"/>
          <w:sz w:val="21"/>
          <w:szCs w:val="21"/>
        </w:rPr>
        <w:t xml:space="preserve">industry </w:t>
      </w:r>
      <w:r w:rsidR="00DE5C27" w:rsidRPr="001B2E24">
        <w:rPr>
          <w:rFonts w:asciiTheme="majorBidi" w:hAnsiTheme="majorBidi" w:cstheme="majorBidi"/>
          <w:sz w:val="21"/>
          <w:szCs w:val="21"/>
        </w:rPr>
        <w:t xml:space="preserve">models increased </w:t>
      </w:r>
      <w:r w:rsidR="0006641E" w:rsidRPr="001B2E24">
        <w:rPr>
          <w:rFonts w:asciiTheme="majorBidi" w:hAnsiTheme="majorBidi" w:cstheme="majorBidi"/>
          <w:sz w:val="21"/>
          <w:szCs w:val="21"/>
        </w:rPr>
        <w:t>from 2,030 companies</w:t>
      </w:r>
      <w:r w:rsidR="00DE5C27" w:rsidRPr="001B2E24">
        <w:rPr>
          <w:rFonts w:asciiTheme="majorBidi" w:hAnsiTheme="majorBidi" w:cstheme="majorBidi"/>
          <w:sz w:val="21"/>
          <w:szCs w:val="21"/>
        </w:rPr>
        <w:t xml:space="preserve"> </w:t>
      </w:r>
      <w:r w:rsidR="0006641E" w:rsidRPr="001B2E24">
        <w:rPr>
          <w:rFonts w:asciiTheme="majorBidi" w:hAnsiTheme="majorBidi" w:cstheme="majorBidi"/>
          <w:sz w:val="21"/>
          <w:szCs w:val="21"/>
        </w:rPr>
        <w:t xml:space="preserve">to 2,144 companies, 60% </w:t>
      </w:r>
      <w:r w:rsidR="00DE5C27" w:rsidRPr="001B2E24">
        <w:rPr>
          <w:rFonts w:asciiTheme="majorBidi" w:hAnsiTheme="majorBidi" w:cstheme="majorBidi"/>
          <w:sz w:val="21"/>
          <w:szCs w:val="21"/>
        </w:rPr>
        <w:t xml:space="preserve">of the entire sample (3,603 companies, see Table 1). The </w:t>
      </w:r>
      <w:r w:rsidR="0006641E" w:rsidRPr="001B2E24">
        <w:rPr>
          <w:rFonts w:asciiTheme="majorBidi" w:hAnsiTheme="majorBidi" w:cstheme="majorBidi"/>
          <w:sz w:val="21"/>
          <w:szCs w:val="21"/>
        </w:rPr>
        <w:t xml:space="preserve">industry </w:t>
      </w:r>
      <w:r w:rsidR="00DE5C27" w:rsidRPr="001B2E24">
        <w:rPr>
          <w:rFonts w:asciiTheme="majorBidi" w:hAnsiTheme="majorBidi" w:cstheme="majorBidi"/>
          <w:sz w:val="21"/>
          <w:szCs w:val="21"/>
        </w:rPr>
        <w:t xml:space="preserve">models with the full data were also able to classify an average of </w:t>
      </w:r>
      <w:r w:rsidR="0006641E" w:rsidRPr="001B2E24">
        <w:rPr>
          <w:rFonts w:asciiTheme="majorBidi" w:hAnsiTheme="majorBidi" w:cstheme="majorBidi"/>
          <w:sz w:val="21"/>
          <w:szCs w:val="21"/>
        </w:rPr>
        <w:t>49.1</w:t>
      </w:r>
      <w:r w:rsidR="00DE5C27" w:rsidRPr="001B2E24">
        <w:rPr>
          <w:rFonts w:asciiTheme="majorBidi" w:hAnsiTheme="majorBidi" w:cstheme="majorBidi"/>
          <w:sz w:val="21"/>
          <w:szCs w:val="21"/>
        </w:rPr>
        <w:t>% of the companies utilized, compared to the previous models which classified only 4</w:t>
      </w:r>
      <w:r w:rsidR="0006641E" w:rsidRPr="001B2E24">
        <w:rPr>
          <w:rFonts w:asciiTheme="majorBidi" w:hAnsiTheme="majorBidi" w:cstheme="majorBidi"/>
          <w:sz w:val="21"/>
          <w:szCs w:val="21"/>
        </w:rPr>
        <w:t>3.7</w:t>
      </w:r>
      <w:r w:rsidR="00DE5C27" w:rsidRPr="001B2E24">
        <w:rPr>
          <w:rFonts w:asciiTheme="majorBidi" w:hAnsiTheme="majorBidi" w:cstheme="majorBidi"/>
          <w:sz w:val="21"/>
          <w:szCs w:val="21"/>
        </w:rPr>
        <w:t>%. Of the entire sample of 3,603 companies, more than 2</w:t>
      </w:r>
      <w:r w:rsidR="0006641E" w:rsidRPr="001B2E24">
        <w:rPr>
          <w:rFonts w:asciiTheme="majorBidi" w:hAnsiTheme="majorBidi" w:cstheme="majorBidi"/>
          <w:sz w:val="21"/>
          <w:szCs w:val="21"/>
        </w:rPr>
        <w:t>9</w:t>
      </w:r>
      <w:r w:rsidR="00DE5C27" w:rsidRPr="001B2E24">
        <w:rPr>
          <w:rFonts w:asciiTheme="majorBidi" w:hAnsiTheme="majorBidi" w:cstheme="majorBidi"/>
          <w:sz w:val="21"/>
          <w:szCs w:val="21"/>
        </w:rPr>
        <w:t xml:space="preserve">% were classified by the models with the full data, as opposed to </w:t>
      </w:r>
      <w:r w:rsidR="0006641E" w:rsidRPr="001B2E24">
        <w:rPr>
          <w:rFonts w:asciiTheme="majorBidi" w:hAnsiTheme="majorBidi" w:cstheme="majorBidi"/>
          <w:sz w:val="21"/>
          <w:szCs w:val="21"/>
        </w:rPr>
        <w:t>26</w:t>
      </w:r>
      <w:r w:rsidR="00DE5C27" w:rsidRPr="001B2E24">
        <w:rPr>
          <w:rFonts w:asciiTheme="majorBidi" w:hAnsiTheme="majorBidi" w:cstheme="majorBidi"/>
          <w:sz w:val="21"/>
          <w:szCs w:val="21"/>
        </w:rPr>
        <w:t>% classified by the previous models.</w:t>
      </w:r>
    </w:p>
    <w:p w:rsidR="0006641E" w:rsidRPr="00254D61" w:rsidRDefault="003F4029" w:rsidP="00530BF5">
      <w:pPr>
        <w:rPr>
          <w:rFonts w:asciiTheme="majorBidi" w:hAnsiTheme="majorBidi" w:cstheme="majorBidi"/>
          <w:sz w:val="24"/>
          <w:szCs w:val="24"/>
        </w:rPr>
      </w:pPr>
      <w:r w:rsidRPr="00254D61">
        <w:rPr>
          <w:rFonts w:asciiTheme="majorBidi" w:hAnsiTheme="majorBidi" w:cstheme="majorBidi"/>
          <w:sz w:val="24"/>
          <w:szCs w:val="24"/>
        </w:rPr>
        <w:t xml:space="preserve"> </w:t>
      </w:r>
    </w:p>
    <w:p w:rsidR="0006641E" w:rsidRPr="00254D61" w:rsidRDefault="0006641E" w:rsidP="00530BF5">
      <w:pPr>
        <w:rPr>
          <w:rFonts w:asciiTheme="majorBidi" w:hAnsiTheme="majorBidi" w:cstheme="majorBidi"/>
          <w:sz w:val="24"/>
          <w:szCs w:val="24"/>
        </w:rPr>
        <w:sectPr w:rsidR="0006641E" w:rsidRPr="00254D61" w:rsidSect="00530BF5">
          <w:pgSz w:w="11906" w:h="16838"/>
          <w:pgMar w:top="1440" w:right="1080" w:bottom="1440" w:left="1080" w:header="709" w:footer="709" w:gutter="0"/>
          <w:cols w:space="708"/>
          <w:bidi/>
          <w:rtlGutter/>
          <w:docGrid w:linePitch="360"/>
        </w:sectPr>
      </w:pPr>
    </w:p>
    <w:p w:rsidR="0006641E" w:rsidRPr="00254D61" w:rsidRDefault="0006641E" w:rsidP="00530BF5">
      <w:pPr>
        <w:jc w:val="center"/>
        <w:rPr>
          <w:rFonts w:asciiTheme="majorBidi" w:hAnsiTheme="majorBidi" w:cstheme="majorBidi"/>
          <w:b/>
          <w:bCs/>
          <w:sz w:val="20"/>
          <w:szCs w:val="20"/>
        </w:rPr>
      </w:pPr>
      <w:r w:rsidRPr="00254D61">
        <w:rPr>
          <w:rFonts w:asciiTheme="majorBidi" w:hAnsiTheme="majorBidi" w:cstheme="majorBidi"/>
          <w:b/>
          <w:bCs/>
          <w:sz w:val="20"/>
          <w:szCs w:val="20"/>
        </w:rPr>
        <w:t>Table 7 – Accuracy and Portfolio Size– Full Data – Industry Membership</w:t>
      </w:r>
    </w:p>
    <w:tbl>
      <w:tblPr>
        <w:tblStyle w:val="ac"/>
        <w:tblW w:w="4578" w:type="pct"/>
        <w:tblLook w:val="04A0" w:firstRow="1" w:lastRow="0" w:firstColumn="1" w:lastColumn="0" w:noHBand="0" w:noVBand="1"/>
      </w:tblPr>
      <w:tblGrid>
        <w:gridCol w:w="3456"/>
        <w:gridCol w:w="864"/>
        <w:gridCol w:w="864"/>
        <w:gridCol w:w="1304"/>
        <w:gridCol w:w="1466"/>
        <w:gridCol w:w="1704"/>
        <w:gridCol w:w="1104"/>
        <w:gridCol w:w="870"/>
        <w:gridCol w:w="870"/>
        <w:gridCol w:w="928"/>
      </w:tblGrid>
      <w:tr w:rsidR="001B2E24" w:rsidRPr="00254D61" w:rsidTr="001B2E24">
        <w:tc>
          <w:tcPr>
            <w:tcW w:w="1287" w:type="pct"/>
          </w:tcPr>
          <w:p w:rsidR="0045218F" w:rsidRPr="001B2E24" w:rsidRDefault="0045218F" w:rsidP="001B2E24">
            <w:pPr>
              <w:spacing w:after="0"/>
              <w:ind w:left="0"/>
              <w:rPr>
                <w:rFonts w:asciiTheme="majorBidi" w:hAnsiTheme="majorBidi" w:cstheme="majorBidi"/>
                <w:b/>
                <w:bCs/>
                <w:sz w:val="21"/>
                <w:szCs w:val="21"/>
              </w:rPr>
            </w:pPr>
          </w:p>
        </w:tc>
        <w:tc>
          <w:tcPr>
            <w:tcW w:w="322" w:type="pct"/>
            <w:vAlign w:val="center"/>
          </w:tcPr>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Total Sample</w:t>
            </w:r>
          </w:p>
        </w:tc>
        <w:tc>
          <w:tcPr>
            <w:tcW w:w="322" w:type="pct"/>
            <w:vAlign w:val="center"/>
          </w:tcPr>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Mining (10-14)</w:t>
            </w:r>
          </w:p>
        </w:tc>
        <w:tc>
          <w:tcPr>
            <w:tcW w:w="486" w:type="pct"/>
            <w:vAlign w:val="center"/>
          </w:tcPr>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Construction (15-17)</w:t>
            </w:r>
          </w:p>
        </w:tc>
        <w:tc>
          <w:tcPr>
            <w:tcW w:w="546" w:type="pct"/>
            <w:vAlign w:val="center"/>
          </w:tcPr>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Manufacturing (20-39)</w:t>
            </w:r>
          </w:p>
        </w:tc>
        <w:tc>
          <w:tcPr>
            <w:tcW w:w="634" w:type="pct"/>
            <w:vAlign w:val="center"/>
          </w:tcPr>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Transportation, Communications, Electric, Gas and Sanitary Services (40-49)</w:t>
            </w:r>
          </w:p>
        </w:tc>
        <w:tc>
          <w:tcPr>
            <w:tcW w:w="411" w:type="pct"/>
            <w:vAlign w:val="center"/>
          </w:tcPr>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Wholesale Trade</w:t>
            </w:r>
          </w:p>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(50-51)</w:t>
            </w:r>
          </w:p>
        </w:tc>
        <w:tc>
          <w:tcPr>
            <w:tcW w:w="324" w:type="pct"/>
            <w:vAlign w:val="center"/>
          </w:tcPr>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Retail Trade (52-59)</w:t>
            </w:r>
          </w:p>
        </w:tc>
        <w:tc>
          <w:tcPr>
            <w:tcW w:w="324" w:type="pct"/>
            <w:vAlign w:val="center"/>
          </w:tcPr>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Real Estate (60-67)</w:t>
            </w:r>
          </w:p>
        </w:tc>
        <w:tc>
          <w:tcPr>
            <w:tcW w:w="345" w:type="pct"/>
            <w:vAlign w:val="center"/>
          </w:tcPr>
          <w:p w:rsidR="0045218F" w:rsidRPr="001B2E24" w:rsidRDefault="0045218F" w:rsidP="001B2E24">
            <w:pPr>
              <w:spacing w:after="0"/>
              <w:ind w:left="0"/>
              <w:rPr>
                <w:rFonts w:asciiTheme="majorBidi" w:hAnsiTheme="majorBidi" w:cstheme="majorBidi"/>
                <w:sz w:val="21"/>
                <w:szCs w:val="21"/>
              </w:rPr>
            </w:pPr>
            <w:r w:rsidRPr="001B2E24">
              <w:rPr>
                <w:rFonts w:asciiTheme="majorBidi" w:hAnsiTheme="majorBidi" w:cstheme="majorBidi"/>
                <w:sz w:val="21"/>
                <w:szCs w:val="21"/>
              </w:rPr>
              <w:t>Services (70-89)</w:t>
            </w:r>
          </w:p>
        </w:tc>
      </w:tr>
      <w:tr w:rsidR="001B2E24" w:rsidRPr="00254D61" w:rsidTr="001B2E24">
        <w:tc>
          <w:tcPr>
            <w:tcW w:w="1287" w:type="pct"/>
            <w:vAlign w:val="bottom"/>
          </w:tcPr>
          <w:p w:rsidR="0045218F" w:rsidRPr="001B2E24" w:rsidRDefault="0045218F" w:rsidP="001B2E24">
            <w:pPr>
              <w:spacing w:after="0"/>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Accuracy</w:t>
            </w:r>
          </w:p>
        </w:tc>
        <w:tc>
          <w:tcPr>
            <w:tcW w:w="322"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67.32%</w:t>
            </w:r>
          </w:p>
        </w:tc>
        <w:tc>
          <w:tcPr>
            <w:tcW w:w="322"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69.90%</w:t>
            </w:r>
          </w:p>
        </w:tc>
        <w:tc>
          <w:tcPr>
            <w:tcW w:w="486"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71.21%</w:t>
            </w:r>
          </w:p>
        </w:tc>
        <w:tc>
          <w:tcPr>
            <w:tcW w:w="546"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68.69%</w:t>
            </w:r>
          </w:p>
        </w:tc>
        <w:tc>
          <w:tcPr>
            <w:tcW w:w="63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67.59%</w:t>
            </w:r>
          </w:p>
        </w:tc>
        <w:tc>
          <w:tcPr>
            <w:tcW w:w="411"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61.35%</w:t>
            </w:r>
          </w:p>
        </w:tc>
        <w:tc>
          <w:tcPr>
            <w:tcW w:w="32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67.10%</w:t>
            </w:r>
          </w:p>
        </w:tc>
        <w:tc>
          <w:tcPr>
            <w:tcW w:w="32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65.72%</w:t>
            </w:r>
          </w:p>
        </w:tc>
        <w:tc>
          <w:tcPr>
            <w:tcW w:w="345"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67.00%</w:t>
            </w:r>
          </w:p>
        </w:tc>
      </w:tr>
      <w:tr w:rsidR="001B2E24" w:rsidRPr="00254D61" w:rsidTr="001B2E24">
        <w:tc>
          <w:tcPr>
            <w:tcW w:w="1287" w:type="pct"/>
            <w:vAlign w:val="bottom"/>
          </w:tcPr>
          <w:p w:rsidR="0045218F" w:rsidRPr="001B2E24" w:rsidRDefault="0045218F" w:rsidP="001B2E24">
            <w:pPr>
              <w:spacing w:after="0"/>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Number of companies used in model</w:t>
            </w:r>
          </w:p>
        </w:tc>
        <w:tc>
          <w:tcPr>
            <w:tcW w:w="322"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 xml:space="preserve"> 2,144 </w:t>
            </w:r>
          </w:p>
        </w:tc>
        <w:tc>
          <w:tcPr>
            <w:tcW w:w="322"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72</w:t>
            </w:r>
          </w:p>
        </w:tc>
        <w:tc>
          <w:tcPr>
            <w:tcW w:w="486"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26</w:t>
            </w:r>
          </w:p>
        </w:tc>
        <w:tc>
          <w:tcPr>
            <w:tcW w:w="546"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931</w:t>
            </w:r>
          </w:p>
        </w:tc>
        <w:tc>
          <w:tcPr>
            <w:tcW w:w="63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208</w:t>
            </w:r>
          </w:p>
        </w:tc>
        <w:tc>
          <w:tcPr>
            <w:tcW w:w="411"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78</w:t>
            </w:r>
          </w:p>
        </w:tc>
        <w:tc>
          <w:tcPr>
            <w:tcW w:w="32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164</w:t>
            </w:r>
          </w:p>
        </w:tc>
        <w:tc>
          <w:tcPr>
            <w:tcW w:w="32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327</w:t>
            </w:r>
          </w:p>
        </w:tc>
        <w:tc>
          <w:tcPr>
            <w:tcW w:w="345"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340</w:t>
            </w:r>
          </w:p>
        </w:tc>
      </w:tr>
      <w:tr w:rsidR="001B2E24" w:rsidRPr="00254D61" w:rsidTr="001B2E24">
        <w:tc>
          <w:tcPr>
            <w:tcW w:w="1287" w:type="pct"/>
            <w:vAlign w:val="bottom"/>
          </w:tcPr>
          <w:p w:rsidR="0045218F" w:rsidRPr="001B2E24" w:rsidRDefault="0045218F" w:rsidP="001B2E24">
            <w:pPr>
              <w:spacing w:after="0"/>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Portfolio Size</w:t>
            </w:r>
          </w:p>
        </w:tc>
        <w:tc>
          <w:tcPr>
            <w:tcW w:w="322"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 xml:space="preserve"> 1,053 </w:t>
            </w:r>
          </w:p>
        </w:tc>
        <w:tc>
          <w:tcPr>
            <w:tcW w:w="322"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41</w:t>
            </w:r>
          </w:p>
        </w:tc>
        <w:tc>
          <w:tcPr>
            <w:tcW w:w="486"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12</w:t>
            </w:r>
          </w:p>
        </w:tc>
        <w:tc>
          <w:tcPr>
            <w:tcW w:w="546"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463</w:t>
            </w:r>
          </w:p>
        </w:tc>
        <w:tc>
          <w:tcPr>
            <w:tcW w:w="63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109</w:t>
            </w:r>
          </w:p>
        </w:tc>
        <w:tc>
          <w:tcPr>
            <w:tcW w:w="411"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48</w:t>
            </w:r>
          </w:p>
        </w:tc>
        <w:tc>
          <w:tcPr>
            <w:tcW w:w="32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102</w:t>
            </w:r>
          </w:p>
        </w:tc>
        <w:tc>
          <w:tcPr>
            <w:tcW w:w="32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137</w:t>
            </w:r>
          </w:p>
        </w:tc>
        <w:tc>
          <w:tcPr>
            <w:tcW w:w="345"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142</w:t>
            </w:r>
          </w:p>
        </w:tc>
      </w:tr>
      <w:tr w:rsidR="001B2E24" w:rsidRPr="00254D61" w:rsidTr="001B2E24">
        <w:tc>
          <w:tcPr>
            <w:tcW w:w="1287" w:type="pct"/>
            <w:vAlign w:val="bottom"/>
          </w:tcPr>
          <w:p w:rsidR="0045218F" w:rsidRPr="001B2E24" w:rsidRDefault="0045218F" w:rsidP="001B2E24">
            <w:pPr>
              <w:spacing w:after="0"/>
              <w:ind w:left="0"/>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Percentage of Portfolio size</w:t>
            </w:r>
          </w:p>
        </w:tc>
        <w:tc>
          <w:tcPr>
            <w:tcW w:w="322"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49.10%</w:t>
            </w:r>
          </w:p>
        </w:tc>
        <w:tc>
          <w:tcPr>
            <w:tcW w:w="322"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56.45%</w:t>
            </w:r>
          </w:p>
        </w:tc>
        <w:tc>
          <w:tcPr>
            <w:tcW w:w="486"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47.57%</w:t>
            </w:r>
          </w:p>
        </w:tc>
        <w:tc>
          <w:tcPr>
            <w:tcW w:w="546"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49.74%</w:t>
            </w:r>
          </w:p>
        </w:tc>
        <w:tc>
          <w:tcPr>
            <w:tcW w:w="63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52.53%</w:t>
            </w:r>
          </w:p>
        </w:tc>
        <w:tc>
          <w:tcPr>
            <w:tcW w:w="411"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60.90%</w:t>
            </w:r>
          </w:p>
        </w:tc>
        <w:tc>
          <w:tcPr>
            <w:tcW w:w="32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62.54%</w:t>
            </w:r>
          </w:p>
        </w:tc>
        <w:tc>
          <w:tcPr>
            <w:tcW w:w="324"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41.81%</w:t>
            </w:r>
          </w:p>
        </w:tc>
        <w:tc>
          <w:tcPr>
            <w:tcW w:w="345" w:type="pct"/>
            <w:vAlign w:val="bottom"/>
          </w:tcPr>
          <w:p w:rsidR="0045218F" w:rsidRPr="001B2E24" w:rsidRDefault="0045218F" w:rsidP="001B2E24">
            <w:pPr>
              <w:spacing w:after="0"/>
              <w:ind w:left="0"/>
              <w:jc w:val="right"/>
              <w:rPr>
                <w:rFonts w:asciiTheme="majorBidi" w:eastAsia="Times New Roman" w:hAnsiTheme="majorBidi" w:cstheme="majorBidi"/>
                <w:color w:val="000000"/>
                <w:sz w:val="21"/>
                <w:szCs w:val="21"/>
              </w:rPr>
            </w:pPr>
            <w:r w:rsidRPr="001B2E24">
              <w:rPr>
                <w:rFonts w:asciiTheme="majorBidi" w:eastAsia="Times New Roman" w:hAnsiTheme="majorBidi" w:cstheme="majorBidi"/>
                <w:color w:val="000000"/>
                <w:sz w:val="21"/>
                <w:szCs w:val="21"/>
              </w:rPr>
              <w:t>41.66%</w:t>
            </w:r>
          </w:p>
        </w:tc>
      </w:tr>
    </w:tbl>
    <w:p w:rsidR="0006641E" w:rsidRPr="00254D61" w:rsidRDefault="0006641E" w:rsidP="00530BF5">
      <w:pPr>
        <w:rPr>
          <w:rFonts w:asciiTheme="majorBidi" w:hAnsiTheme="majorBidi" w:cstheme="majorBidi"/>
          <w:b/>
          <w:bCs/>
          <w:sz w:val="20"/>
          <w:szCs w:val="20"/>
        </w:rPr>
      </w:pPr>
    </w:p>
    <w:p w:rsidR="005C3952" w:rsidRPr="00254D61" w:rsidRDefault="005C3952" w:rsidP="00530BF5">
      <w:pPr>
        <w:rPr>
          <w:rFonts w:asciiTheme="majorBidi" w:hAnsiTheme="majorBidi" w:cstheme="majorBidi"/>
          <w:sz w:val="24"/>
          <w:szCs w:val="24"/>
        </w:rPr>
      </w:pPr>
    </w:p>
    <w:p w:rsidR="0006641E" w:rsidRPr="00254D61" w:rsidRDefault="0006641E" w:rsidP="00420450">
      <w:pPr>
        <w:pStyle w:val="1"/>
        <w:sectPr w:rsidR="0006641E" w:rsidRPr="00254D61" w:rsidSect="00530BF5">
          <w:pgSz w:w="16838" w:h="11906" w:orient="landscape"/>
          <w:pgMar w:top="1440" w:right="1080" w:bottom="1440" w:left="1080" w:header="709" w:footer="709" w:gutter="0"/>
          <w:cols w:space="708"/>
          <w:bidi/>
          <w:rtlGutter/>
          <w:docGrid w:linePitch="360"/>
        </w:sectPr>
      </w:pPr>
    </w:p>
    <w:p w:rsidR="00A567FB" w:rsidRPr="00254D61" w:rsidRDefault="00A567FB" w:rsidP="00420450">
      <w:pPr>
        <w:pStyle w:val="1"/>
      </w:pPr>
      <w:r w:rsidRPr="00254D61">
        <w:t xml:space="preserve">CONCLUSIONS </w:t>
      </w:r>
    </w:p>
    <w:p w:rsidR="00A567FB"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The focus of this study has been to examine </w:t>
      </w:r>
      <w:r w:rsidR="00CA0544" w:rsidRPr="001B2E24">
        <w:rPr>
          <w:rFonts w:asciiTheme="majorBidi" w:hAnsiTheme="majorBidi" w:cstheme="majorBidi"/>
          <w:sz w:val="21"/>
          <w:szCs w:val="21"/>
        </w:rPr>
        <w:t xml:space="preserve">the use of the newly mandated accounting data format of XBRL on a large scale in </w:t>
      </w:r>
      <w:r w:rsidRPr="001B2E24">
        <w:rPr>
          <w:rFonts w:asciiTheme="majorBidi" w:hAnsiTheme="majorBidi" w:cstheme="majorBidi"/>
          <w:sz w:val="21"/>
          <w:szCs w:val="21"/>
        </w:rPr>
        <w:t>previously researched earning prediction models</w:t>
      </w:r>
      <w:r w:rsidR="0045218F" w:rsidRPr="001B2E24">
        <w:rPr>
          <w:rFonts w:asciiTheme="majorBidi" w:hAnsiTheme="majorBidi" w:cstheme="majorBidi"/>
          <w:sz w:val="21"/>
          <w:szCs w:val="21"/>
        </w:rPr>
        <w:t xml:space="preserve"> </w:t>
      </w:r>
      <w:r w:rsidR="0045218F" w:rsidRPr="001B2E24">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"10.1057/palgrave.jam.2240044", "ISBN" : "14708272", "ISSN" : "1470-8272", "PMID" : "194561092", "abstract" : "The greater interest apparent in the recent academic literature in the impact of corporate earnings information on the valuation of shares has prompted an updating of the seminal work of Ou and Penman (1989) on the role that accounting information can play in predicting future movements in earnings relative to expectations. The Ou and Penman analysis has also been extended by considering two measures of expectations; by covering a more recent time period; by encompassing the UK and Australian markets in addition to the US market; and by applying a new methodology for developing the forecasting models. The study found that a model based on accounting information retains merit as a means of forecasting movements in trend-adjusted earnings, but that these forecasts no longer provide the basis for a profitable investment strategy. The models used to forecast earnings surprise gave mixed results, but nonetheless, some of the resulting investment strategies were consistently profitable.", "author" : [ { "dropping-particle" : "", "family" : "Bird", "given" : "Ron", "non-dropping-particle" : "", "parse-names" : false, "suffix" : "" }, { "dropping-particle" : "", "family" : "Gerlach", "given" : "Richard", "non-dropping-particle" : "", "parse-names" : false, "suffix" : "" }, { "dropping-particle" : "", "family" : "Hall", "given" : "A.D.", "non-dropping-particle" : "", "parse-names" : false, "suffix" : "" } ], "container-title" : "Journal of Asset Management", "id" : "ITEM-1", "issue" : "2", "issued" : { "date-parts" : [ [ "2001" ] ] }, "page" : "180-195", "title" : "'The prediction of earnings movements using accounting data: An update and extension of Ou and Penman' -- a response", "type" : "article-journal", "volume" : "2" }, "uris" : [ "http://www.mendeley.com/documents/?uuid=8277b378-9592-43af-b906-491c5377ef29" ] }, { "id" : "ITEM-2", "itemData" : { "DOI" : "10.1016/0165-4101(89)90017-7", "ISBN" : "0165-4101", "ISSN" : "01654101", "PMID" : "23637440", "abstract" : "This paper performs a financial statement analysis that combines a large set of financial statement items into one summary measure which indicates the direction of one-year-ahead earnings changes. Positions are taken in stocks on the basis of this measure during the period 1973-1983, which involve canceling long and short positions with zero net investment. The two-year holding-period return to the long and short positions is in the order of 12.5%. After adjustment for 'size effects' the return is about 7.0%. These returns cannot be explained by nominated firm risk characteristics. \u00a9 1989.", "author" : [ { "dropping-particle" : "", "family" : "Ou", "given" : "Jane A.", "non-dropping-particle" : "", "parse-names" : false, "suffix" : "" }, { "dropping-particle" : "", "family" : "Penman", "given" : "Stephen H.", "non-dropping-particle" : "", "parse-names" : false, "suffix" : "" } ], "container-title" : "Journal of Accounting and Economics", "id" : "ITEM-2", "issue" : "4", "issued" : { "date-parts" : [ [ "1989" ] ] }, "page" : "295-329", "title" : "Financial statement analysis and the prediction of stock returns", "type" : "article-journal", "volume" : "11" }, "uris" : [ "http://www.mendeley.com/documents/?uuid=828c6208-675d-42c4-87a3-09590a2da7da" ] } ], "mendeley" : { "formattedCitation" : "(Bird et al., 2001; Ou &amp; Penman, 1989)", "plainTextFormattedCitation" : "(Bird et al., 2001; Ou &amp; Penman, 1989)", "previouslyFormattedCitation" : "(Bird et al., 2001; Ou &amp; Penman, 1989)" }, "properties" : {  }, "schema" : "https://github.com/citation-style-language/schema/raw/master/csl-citation.json" }</w:instrText>
      </w:r>
      <w:r w:rsidR="0045218F" w:rsidRPr="001B2E24">
        <w:rPr>
          <w:rFonts w:asciiTheme="majorBidi" w:hAnsiTheme="majorBidi" w:cstheme="majorBidi"/>
          <w:sz w:val="21"/>
          <w:szCs w:val="21"/>
        </w:rPr>
        <w:fldChar w:fldCharType="separate"/>
      </w:r>
      <w:r w:rsidR="0045218F" w:rsidRPr="001B2E24">
        <w:rPr>
          <w:rFonts w:asciiTheme="majorBidi" w:hAnsiTheme="majorBidi" w:cstheme="majorBidi"/>
          <w:noProof/>
          <w:sz w:val="21"/>
          <w:szCs w:val="21"/>
        </w:rPr>
        <w:t>(Bird et al., 2001; Ou &amp; Penman, 1989)</w:t>
      </w:r>
      <w:r w:rsidR="0045218F" w:rsidRPr="001B2E24">
        <w:rPr>
          <w:rFonts w:asciiTheme="majorBidi" w:hAnsiTheme="majorBidi" w:cstheme="majorBidi"/>
          <w:sz w:val="21"/>
          <w:szCs w:val="21"/>
        </w:rPr>
        <w:fldChar w:fldCharType="end"/>
      </w:r>
      <w:r w:rsidRPr="001B2E24">
        <w:rPr>
          <w:rFonts w:asciiTheme="majorBidi" w:hAnsiTheme="majorBidi" w:cstheme="majorBidi"/>
          <w:sz w:val="21"/>
          <w:szCs w:val="21"/>
        </w:rPr>
        <w:t>. The use of XBRL allows not only easier and less costly access to the data but also the ability to adjust the models almost immediately as current information is posted, thus providing a much more relevant tool for investors, and especially small investors.</w:t>
      </w:r>
    </w:p>
    <w:p w:rsidR="00CA0544"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The findings of the study suggest that XBRL data can be used in a large scale financial statement analysis, for both research and investment, as viable data source. </w:t>
      </w:r>
      <w:r w:rsidR="00CA0544" w:rsidRPr="001B2E24">
        <w:rPr>
          <w:rFonts w:asciiTheme="majorBidi" w:hAnsiTheme="majorBidi" w:cstheme="majorBidi"/>
          <w:sz w:val="21"/>
          <w:szCs w:val="21"/>
        </w:rPr>
        <w:t>While t</w:t>
      </w:r>
      <w:r w:rsidRPr="001B2E24">
        <w:rPr>
          <w:rFonts w:asciiTheme="majorBidi" w:hAnsiTheme="majorBidi" w:cstheme="majorBidi"/>
          <w:sz w:val="21"/>
          <w:szCs w:val="21"/>
        </w:rPr>
        <w:t xml:space="preserve">he models developed </w:t>
      </w:r>
      <w:r w:rsidR="00CA0544" w:rsidRPr="001B2E24">
        <w:rPr>
          <w:rFonts w:asciiTheme="majorBidi" w:hAnsiTheme="majorBidi" w:cstheme="majorBidi"/>
          <w:sz w:val="21"/>
          <w:szCs w:val="21"/>
        </w:rPr>
        <w:t xml:space="preserve">with the original data </w:t>
      </w:r>
      <w:r w:rsidRPr="001B2E24">
        <w:rPr>
          <w:rFonts w:asciiTheme="majorBidi" w:hAnsiTheme="majorBidi" w:cstheme="majorBidi"/>
          <w:sz w:val="21"/>
          <w:szCs w:val="21"/>
        </w:rPr>
        <w:t xml:space="preserve">provided a </w:t>
      </w:r>
      <w:r w:rsidR="0017554E" w:rsidRPr="001B2E24">
        <w:rPr>
          <w:rFonts w:asciiTheme="majorBidi" w:hAnsiTheme="majorBidi" w:cstheme="majorBidi"/>
          <w:sz w:val="21"/>
          <w:szCs w:val="21"/>
        </w:rPr>
        <w:t>simila</w:t>
      </w:r>
      <w:r w:rsidRPr="001B2E24">
        <w:rPr>
          <w:rFonts w:asciiTheme="majorBidi" w:hAnsiTheme="majorBidi" w:cstheme="majorBidi"/>
          <w:sz w:val="21"/>
          <w:szCs w:val="21"/>
        </w:rPr>
        <w:t xml:space="preserve">r accuracy rate </w:t>
      </w:r>
      <w:r w:rsidR="0017554E" w:rsidRPr="001B2E24">
        <w:rPr>
          <w:rFonts w:asciiTheme="majorBidi" w:hAnsiTheme="majorBidi" w:cstheme="majorBidi"/>
          <w:sz w:val="21"/>
          <w:szCs w:val="21"/>
        </w:rPr>
        <w:t>to</w:t>
      </w:r>
      <w:r w:rsidRPr="001B2E24">
        <w:rPr>
          <w:rFonts w:asciiTheme="majorBidi" w:hAnsiTheme="majorBidi" w:cstheme="majorBidi"/>
          <w:sz w:val="21"/>
          <w:szCs w:val="21"/>
        </w:rPr>
        <w:t xml:space="preserve"> that of previous studies</w:t>
      </w:r>
      <w:r w:rsidR="00CA0544" w:rsidRPr="001B2E24">
        <w:rPr>
          <w:rFonts w:asciiTheme="majorBidi" w:hAnsiTheme="majorBidi" w:cstheme="majorBidi"/>
          <w:sz w:val="21"/>
          <w:szCs w:val="21"/>
        </w:rPr>
        <w:t xml:space="preserve">, they were only able to classify a relatively small portion </w:t>
      </w:r>
      <w:r w:rsidR="00707C3A" w:rsidRPr="001B2E24">
        <w:rPr>
          <w:rFonts w:asciiTheme="majorBidi" w:hAnsiTheme="majorBidi" w:cstheme="majorBidi"/>
          <w:sz w:val="21"/>
          <w:szCs w:val="21"/>
        </w:rPr>
        <w:t>of the companies (less than 10%)</w:t>
      </w:r>
      <w:r w:rsidRPr="001B2E24">
        <w:rPr>
          <w:rFonts w:asciiTheme="majorBidi" w:hAnsiTheme="majorBidi" w:cstheme="majorBidi"/>
          <w:sz w:val="21"/>
          <w:szCs w:val="21"/>
        </w:rPr>
        <w:t xml:space="preserve">. </w:t>
      </w:r>
    </w:p>
    <w:p w:rsidR="00CA0544" w:rsidRPr="001B2E24" w:rsidRDefault="00707C3A"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The reason the models could only utilize a small portion of the data</w:t>
      </w:r>
      <w:r w:rsidR="0017554E" w:rsidRPr="001B2E24">
        <w:rPr>
          <w:rFonts w:asciiTheme="majorBidi" w:hAnsiTheme="majorBidi" w:cstheme="majorBidi"/>
          <w:sz w:val="21"/>
          <w:szCs w:val="21"/>
        </w:rPr>
        <w:t>, and therefore classify an even smaller portion,</w:t>
      </w:r>
      <w:r w:rsidRPr="001B2E24">
        <w:rPr>
          <w:rFonts w:asciiTheme="majorBidi" w:hAnsiTheme="majorBidi" w:cstheme="majorBidi"/>
          <w:sz w:val="21"/>
          <w:szCs w:val="21"/>
        </w:rPr>
        <w:t xml:space="preserve"> is </w:t>
      </w:r>
      <w:r w:rsidR="0017554E" w:rsidRPr="001B2E24">
        <w:rPr>
          <w:rFonts w:asciiTheme="majorBidi" w:hAnsiTheme="majorBidi" w:cstheme="majorBidi"/>
          <w:sz w:val="21"/>
          <w:szCs w:val="21"/>
        </w:rPr>
        <w:t>that</w:t>
      </w:r>
      <w:r w:rsidRPr="001B2E24">
        <w:rPr>
          <w:rFonts w:asciiTheme="majorBidi" w:hAnsiTheme="majorBidi" w:cstheme="majorBidi"/>
          <w:sz w:val="21"/>
          <w:szCs w:val="21"/>
        </w:rPr>
        <w:t xml:space="preserve"> m</w:t>
      </w:r>
      <w:r w:rsidR="003C44A5" w:rsidRPr="001B2E24">
        <w:rPr>
          <w:rFonts w:asciiTheme="majorBidi" w:hAnsiTheme="majorBidi" w:cstheme="majorBidi"/>
          <w:sz w:val="21"/>
          <w:szCs w:val="21"/>
        </w:rPr>
        <w:t xml:space="preserve">any observations were incomplete or unavailable. To overcome this problem a Multivariate Imputation by Chained Equations (MICE) was employed. The method was able not only to provide more robust models which were able to classify a much larger number of companies (more than 26% of the original companies), but to do so </w:t>
      </w:r>
      <w:r w:rsidR="0017554E" w:rsidRPr="001B2E24">
        <w:rPr>
          <w:rFonts w:asciiTheme="majorBidi" w:hAnsiTheme="majorBidi" w:cstheme="majorBidi"/>
          <w:sz w:val="21"/>
          <w:szCs w:val="21"/>
        </w:rPr>
        <w:t>at a higher accuracy rate than previously.</w:t>
      </w:r>
    </w:p>
    <w:p w:rsidR="0045218F" w:rsidRPr="001B2E24" w:rsidRDefault="0045218F"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The ability of the models to utilize and classify companies into investment portfolios increased to 29% (of the original sample) when the sample was disseminated into industries, based on SIC codes.</w:t>
      </w:r>
    </w:p>
    <w:p w:rsidR="0017554E" w:rsidRPr="001B2E24" w:rsidRDefault="00A567FB"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 xml:space="preserve">This study contributes to previous research by expanding the scope of XBRL filings data used to </w:t>
      </w:r>
      <w:r w:rsidR="003C44A5" w:rsidRPr="001B2E24">
        <w:rPr>
          <w:rFonts w:asciiTheme="majorBidi" w:hAnsiTheme="majorBidi" w:cstheme="majorBidi"/>
          <w:sz w:val="21"/>
          <w:szCs w:val="21"/>
        </w:rPr>
        <w:t>all</w:t>
      </w:r>
      <w:r w:rsidRPr="001B2E24">
        <w:rPr>
          <w:rFonts w:asciiTheme="majorBidi" w:hAnsiTheme="majorBidi" w:cstheme="majorBidi"/>
          <w:sz w:val="21"/>
          <w:szCs w:val="21"/>
        </w:rPr>
        <w:t xml:space="preserve"> company filings</w:t>
      </w:r>
      <w:r w:rsidR="003C44A5" w:rsidRPr="001B2E24">
        <w:rPr>
          <w:rFonts w:asciiTheme="majorBidi" w:hAnsiTheme="majorBidi" w:cstheme="majorBidi"/>
          <w:sz w:val="21"/>
          <w:szCs w:val="21"/>
        </w:rPr>
        <w:t xml:space="preserve"> and to </w:t>
      </w:r>
      <w:r w:rsidR="0017554E" w:rsidRPr="001B2E24">
        <w:rPr>
          <w:rFonts w:asciiTheme="majorBidi" w:hAnsiTheme="majorBidi" w:cstheme="majorBidi"/>
          <w:sz w:val="21"/>
          <w:szCs w:val="21"/>
        </w:rPr>
        <w:t xml:space="preserve">by </w:t>
      </w:r>
      <w:r w:rsidR="003C44A5" w:rsidRPr="001B2E24">
        <w:rPr>
          <w:rFonts w:asciiTheme="majorBidi" w:hAnsiTheme="majorBidi" w:cstheme="majorBidi"/>
          <w:sz w:val="21"/>
          <w:szCs w:val="21"/>
        </w:rPr>
        <w:t>enhanc</w:t>
      </w:r>
      <w:r w:rsidR="0017554E" w:rsidRPr="001B2E24">
        <w:rPr>
          <w:rFonts w:asciiTheme="majorBidi" w:hAnsiTheme="majorBidi" w:cstheme="majorBidi"/>
          <w:sz w:val="21"/>
          <w:szCs w:val="21"/>
        </w:rPr>
        <w:t>ing</w:t>
      </w:r>
      <w:r w:rsidR="003C44A5" w:rsidRPr="001B2E24">
        <w:rPr>
          <w:rFonts w:asciiTheme="majorBidi" w:hAnsiTheme="majorBidi" w:cstheme="majorBidi"/>
          <w:sz w:val="21"/>
          <w:szCs w:val="21"/>
        </w:rPr>
        <w:t xml:space="preserve"> the original data by </w:t>
      </w:r>
      <w:r w:rsidR="0017554E" w:rsidRPr="001B2E24">
        <w:rPr>
          <w:rFonts w:asciiTheme="majorBidi" w:hAnsiTheme="majorBidi" w:cstheme="majorBidi"/>
          <w:sz w:val="21"/>
          <w:szCs w:val="21"/>
        </w:rPr>
        <w:t xml:space="preserve">multivariate </w:t>
      </w:r>
      <w:r w:rsidR="003C44A5" w:rsidRPr="001B2E24">
        <w:rPr>
          <w:rFonts w:asciiTheme="majorBidi" w:hAnsiTheme="majorBidi" w:cstheme="majorBidi"/>
          <w:sz w:val="21"/>
          <w:szCs w:val="21"/>
        </w:rPr>
        <w:t>imputation</w:t>
      </w:r>
      <w:r w:rsidRPr="001B2E24">
        <w:rPr>
          <w:rFonts w:asciiTheme="majorBidi" w:hAnsiTheme="majorBidi" w:cstheme="majorBidi"/>
          <w:sz w:val="21"/>
          <w:szCs w:val="21"/>
        </w:rPr>
        <w:t xml:space="preserve">. The attempt of the study is not to examine the validity of the prediction models presented, but to see if XBRL data filings may be used in this type of financial statement analysis. </w:t>
      </w:r>
    </w:p>
    <w:p w:rsidR="003C44A5" w:rsidRPr="001B2E24" w:rsidRDefault="003C44A5" w:rsidP="001B2E24">
      <w:pPr>
        <w:spacing w:after="0"/>
        <w:ind w:left="0" w:firstLineChars="200" w:firstLine="420"/>
        <w:rPr>
          <w:rFonts w:asciiTheme="majorBidi" w:hAnsiTheme="majorBidi" w:cstheme="majorBidi"/>
          <w:sz w:val="21"/>
          <w:szCs w:val="21"/>
        </w:rPr>
      </w:pPr>
      <w:r w:rsidRPr="001B2E24">
        <w:rPr>
          <w:rFonts w:asciiTheme="majorBidi" w:hAnsiTheme="majorBidi" w:cstheme="majorBidi"/>
          <w:sz w:val="21"/>
          <w:szCs w:val="21"/>
        </w:rPr>
        <w:t>The main</w:t>
      </w:r>
      <w:r w:rsidR="00A567FB" w:rsidRPr="001B2E24">
        <w:rPr>
          <w:rFonts w:asciiTheme="majorBidi" w:hAnsiTheme="majorBidi" w:cstheme="majorBidi"/>
          <w:sz w:val="21"/>
          <w:szCs w:val="21"/>
        </w:rPr>
        <w:t xml:space="preserve"> limitation</w:t>
      </w:r>
      <w:r w:rsidR="0017554E" w:rsidRPr="001B2E24">
        <w:rPr>
          <w:rFonts w:asciiTheme="majorBidi" w:hAnsiTheme="majorBidi" w:cstheme="majorBidi"/>
          <w:sz w:val="21"/>
          <w:szCs w:val="21"/>
        </w:rPr>
        <w:t xml:space="preserve"> of this study</w:t>
      </w:r>
      <w:r w:rsidR="00A567FB" w:rsidRPr="001B2E24">
        <w:rPr>
          <w:rFonts w:asciiTheme="majorBidi" w:hAnsiTheme="majorBidi" w:cstheme="majorBidi"/>
          <w:sz w:val="21"/>
          <w:szCs w:val="21"/>
        </w:rPr>
        <w:t xml:space="preserve"> is the relatively short time period data (from 2011) of the SEC XBRL mandate. The short time period not only limits the amount of data available but may also cause other problems such as inconsistencies, errors, or unnecessary extensions in the XBRL filings </w:t>
      </w:r>
      <w:r w:rsidR="0045218F" w:rsidRPr="001B2E24">
        <w:rPr>
          <w:rFonts w:asciiTheme="majorBidi" w:hAnsiTheme="majorBidi" w:cstheme="majorBidi"/>
          <w:sz w:val="21"/>
          <w:szCs w:val="21"/>
        </w:rPr>
        <w:fldChar w:fldCharType="begin" w:fldLock="1"/>
      </w:r>
      <w:r w:rsidR="002D273E">
        <w:rPr>
          <w:rFonts w:asciiTheme="majorBidi" w:hAnsiTheme="majorBidi" w:cstheme="majorBidi"/>
          <w:sz w:val="21"/>
          <w:szCs w:val="21"/>
        </w:rPr>
        <w:instrText>ADDIN CSL_CITATION { "citationItems" : [ { "id" : "ITEM-1", "itemData" : { "DOI" : "10.2308/acch-50068", "ISBN" : "08887993", "ISSN" : "08887993", "PMID" : "71100624", "abstract" : "The Securities and Exchange Commission (SEC) has adopted the eXtensible Business Reporting Language (XBRL) in a multi-year program to enhance the functionality of the Commission's EDGAR database. Filers tag their financial statements with elements from a taxonomy that defines the reporting concepts so that the XBRL files can be understood by information consumers. The U.S. GAAP taxonomy was designed to represent common reporting practices and support the disclosure requirements of U.S. GAAP. If taxonomy elements for each disclosure concept are not present, the filer creates an extension element. Extensions, when used appropriately, provide decision-relevant information. When used inappropriately, particularly when a semantically equivalent element already exists in the foundation taxonomy, extensions add no information content. This research analyzes extensions made in a subset of XBRL filings made to the SEC between April 2009 and June 2010. Forty percent of these extensions were unnecessary, as semantically equivalent elements were already in the U.S. GAAP taxonomy. Extensions that aggregated or disaggregated existing elements comprised 21 percent of the extensions. New concepts accounted for 30 percent of the extensions, although many were variants of existing elements, rather than significantly new concepts. [ABSTRACT FROM AUTHOR]", "author" : [ { "dropping-particle" : "", "family" : "Debreceny", "given" : "Roger S.", "non-dropping-particle" : "", "parse-names" : false, "suffix" : "" }, { "dropping-particle" : "", "family" : "Farewell", "given" : "Stephanie M.", "non-dropping-particle" : "", "parse-names" : false, "suffix" : "" }, { "dropping-particle" : "", "family" : "Piechocki", "given" : "Maciej", "non-dropping-particle" : "", "parse-names" : false, "suffix" : "" }, { "dropping-particle" : "", "family" : "Felden", "given" : "Carsten", "non-dropping-particle" : "", "parse-names" : false, "suffix" : "" }, { "dropping-particle" : "", "family" : "Gr\u00e4ning", "given" : "Andre", "non-dropping-particle" : "", "parse-names" : false, "suffix" : "" }, { "dropping-particle" : "", "family" : "D'Eri", "given" : "Alessandro", "non-dropping-particle" : "", "parse-names" : false, "suffix" : "" } ], "container-title" : "Accounting Horizons", "id" : "ITEM-1", "issue" : "4", "issued" : { "date-parts" : [ [ "2011" ] ] }, "page" : "631-657", "title" : "Flex or break? Extensions in XBRL disclosures to the SEC", "type" : "article-journal", "volume" : "25" }, "uris" : [ "http://www.mendeley.com/documents/?uuid=fc558c9e-2aa7-40d4-87f5-07959f4502dd" ] }, { "id" : "ITEM-2", "itemData" : { "DOI" : "10.2308/isys-50399", "ISBN" : "9788578110796", "ISSN" : "0888-7985", "PMID" : "25246403", "abstract" : "Since the mandate by the U.S. Securities and Exchange Commission (SEC) to begin interactive data reporting in June 2009, according to XBRL Cloud, an XBRL product and service provider, more than 4,000 filing errors have been identified. We examine the overall changing pattern of the errors to understand whether the large number of errors may hamper the transition to interactive data reporting. Using a sample of 4,532 filings that contain 4,260 errors, we document a significant learning curve exhibited by the XBRL filers. Specifically, we find that the number of errors per filing is significantly decreasing when a company files more times, suggesting that the company filers or the filing agents many companies use learn from their experiences and therefore the future filings are improved. Our findings provide evidence to encourage the regulatory body, the filers, and the XBRL technology supporting community to embrace the new disclosure requirement in financial reporting. The significantly decreased error pattern also helps address the information users' concerns regarding the data quality of XBRL filings.", "author" : [ { "dropping-particle" : "", "family" : "Du", "given" : "Hui", "non-dropping-particle" : "", "parse-names" : false, "suffix" : "" }, { "dropping-particle" : "", "family" : "Vasarhelyi", "given" : "Miklos a.", "non-dropping-particle" : "", "parse-names" : false, "suffix" : "" }, { "dropping-particle" : "", "family" : "Zheng", "given" : "Xiaochuan", "non-dropping-particle" : "", "parse-names" : false, "suffix" : "" } ], "container-title" : "Journal of Information Systems", "id" : "ITEM-2", "issue" : "1", "issued" : { "date-parts" : [ [ "2013" ] ] }, "page" : "61-78", "title" : "XBRL Mandate: Thousands of Filing Errors and So What?", "type" : "article-journal", "volume" : "27" }, "uris" : [ "http://www.mendeley.com/documents/?uuid=03b95a7f-f512-40ab-94a7-5a0e72361109" ] } ], "mendeley" : { "formattedCitation" : "(R. S. Debreceny et al., 2011; Du, Vasarhelyi, &amp; Zheng, 2013)", "plainTextFormattedCitation" : "(R. S. Debreceny et al., 2011; Du, Vasarhelyi, &amp; Zheng, 2013)", "previouslyFormattedCitation" : "(R. S. Debreceny et al., 2011; Du, Vasarhelyi, &amp; Zheng, 2013)" }, "properties" : {  }, "schema" : "https://github.com/citation-style-language/schema/raw/master/csl-citation.json" }</w:instrText>
      </w:r>
      <w:r w:rsidR="0045218F" w:rsidRPr="001B2E24">
        <w:rPr>
          <w:rFonts w:asciiTheme="majorBidi" w:hAnsiTheme="majorBidi" w:cstheme="majorBidi"/>
          <w:sz w:val="21"/>
          <w:szCs w:val="21"/>
        </w:rPr>
        <w:fldChar w:fldCharType="separate"/>
      </w:r>
      <w:r w:rsidR="002D273E" w:rsidRPr="002D273E">
        <w:rPr>
          <w:rFonts w:asciiTheme="majorBidi" w:hAnsiTheme="majorBidi" w:cstheme="majorBidi"/>
          <w:noProof/>
          <w:sz w:val="21"/>
          <w:szCs w:val="21"/>
        </w:rPr>
        <w:t>(R. S. Debreceny et al., 2011; Du, Vasarhelyi, &amp; Zheng, 2013)</w:t>
      </w:r>
      <w:r w:rsidR="0045218F" w:rsidRPr="001B2E24">
        <w:rPr>
          <w:rFonts w:asciiTheme="majorBidi" w:hAnsiTheme="majorBidi" w:cstheme="majorBidi"/>
          <w:sz w:val="21"/>
          <w:szCs w:val="21"/>
        </w:rPr>
        <w:fldChar w:fldCharType="end"/>
      </w:r>
      <w:r w:rsidR="00A567FB" w:rsidRPr="001B2E24">
        <w:rPr>
          <w:rFonts w:asciiTheme="majorBidi" w:hAnsiTheme="majorBidi" w:cstheme="majorBidi"/>
          <w:sz w:val="21"/>
          <w:szCs w:val="21"/>
        </w:rPr>
        <w:t>. However, given that there are indications that XBRL quality increases over time</w:t>
      </w:r>
      <w:r w:rsidR="0045218F" w:rsidRPr="001B2E24">
        <w:rPr>
          <w:rFonts w:asciiTheme="majorBidi" w:hAnsiTheme="majorBidi" w:cstheme="majorBidi"/>
          <w:sz w:val="21"/>
          <w:szCs w:val="21"/>
        </w:rPr>
        <w:t xml:space="preserve"> </w:t>
      </w:r>
      <w:r w:rsidR="0045218F" w:rsidRPr="001B2E24">
        <w:rPr>
          <w:rFonts w:asciiTheme="majorBidi" w:hAnsiTheme="majorBidi" w:cstheme="majorBidi"/>
          <w:sz w:val="21"/>
          <w:szCs w:val="21"/>
        </w:rPr>
        <w:fldChar w:fldCharType="begin" w:fldLock="1"/>
      </w:r>
      <w:r w:rsidR="007A0C89">
        <w:rPr>
          <w:rFonts w:asciiTheme="majorBidi" w:hAnsiTheme="majorBidi" w:cstheme="majorBidi"/>
          <w:sz w:val="21"/>
          <w:szCs w:val="21"/>
        </w:rPr>
        <w:instrText>ADDIN CSL_CITATION { "citationItems" : [ { "id" : "ITEM-1", "itemData" : { "DOI" : "10.2308/isys-50399", "ISBN" : "9788578110796", "ISSN" : "0888-7985", "PMID" : "25246403", "abstract" : "Since the mandate by the U.S. Securities and Exchange Commission (SEC) to begin interactive data reporting in June 2009, according to XBRL Cloud, an XBRL product and service provider, more than 4,000 filing errors have been identified. We examine the overall changing pattern of the errors to understand whether the large number of errors may hamper the transition to interactive data reporting. Using a sample of 4,532 filings that contain 4,260 errors, we document a significant learning curve exhibited by the XBRL filers. Specifically, we find that the number of errors per filing is significantly decreasing when a company files more times, suggesting that the company filers or the filing agents many companies use learn from their experiences and therefore the future filings are improved. Our findings provide evidence to encourage the regulatory body, the filers, and the XBRL technology supporting community to embrace the new disclosure requirement in financial reporting. The significantly decreased error pattern also helps address the information users' concerns regarding the data quality of XBRL filings.", "author" : [ { "dropping-particle" : "", "family" : "Du", "given" : "Hui", "non-dropping-particle" : "", "parse-names" : false, "suffix" : "" }, { "dropping-particle" : "", "family" : "Vasarhelyi", "given" : "Miklos a.", "non-dropping-particle" : "", "parse-names" : false, "suffix" : "" }, { "dropping-particle" : "", "family" : "Zheng", "given" : "Xiaochuan", "non-dropping-particle" : "", "parse-names" : false, "suffix" : "" } ], "container-title" : "Journal of Information Systems", "id" : "ITEM-1", "issue" : "1", "issued" : { "date-parts" : [ [ "2013" ] ] }, "page" : "61-78", "title" : "XBRL Mandate: Thousands of Filing Errors and So What?", "type" : "article-journal", "volume" : "27" }, "uris" : [ "http://www.mendeley.com/documents/?uuid=03b95a7f-f512-40ab-94a7-5a0e72361109" ] } ], "mendeley" : { "formattedCitation" : "(Du et al., 2013)", "plainTextFormattedCitation" : "(Du et al., 2013)", "previouslyFormattedCitation" : "(Du et al., 2013)" }, "properties" : {  }, "schema" : "https://github.com/citation-style-language/schema/raw/master/csl-citation.json" }</w:instrText>
      </w:r>
      <w:r w:rsidR="0045218F" w:rsidRPr="001B2E24">
        <w:rPr>
          <w:rFonts w:asciiTheme="majorBidi" w:hAnsiTheme="majorBidi" w:cstheme="majorBidi"/>
          <w:sz w:val="21"/>
          <w:szCs w:val="21"/>
        </w:rPr>
        <w:fldChar w:fldCharType="separate"/>
      </w:r>
      <w:r w:rsidR="0045218F" w:rsidRPr="001B2E24">
        <w:rPr>
          <w:rFonts w:asciiTheme="majorBidi" w:hAnsiTheme="majorBidi" w:cstheme="majorBidi"/>
          <w:noProof/>
          <w:sz w:val="21"/>
          <w:szCs w:val="21"/>
        </w:rPr>
        <w:t>(Du et al., 2013)</w:t>
      </w:r>
      <w:r w:rsidR="0045218F" w:rsidRPr="001B2E24">
        <w:rPr>
          <w:rFonts w:asciiTheme="majorBidi" w:hAnsiTheme="majorBidi" w:cstheme="majorBidi"/>
          <w:sz w:val="21"/>
          <w:szCs w:val="21"/>
        </w:rPr>
        <w:fldChar w:fldCharType="end"/>
      </w:r>
      <w:r w:rsidR="00A567FB" w:rsidRPr="001B2E24">
        <w:rPr>
          <w:rFonts w:asciiTheme="majorBidi" w:hAnsiTheme="majorBidi" w:cstheme="majorBidi"/>
          <w:sz w:val="21"/>
          <w:szCs w:val="21"/>
        </w:rPr>
        <w:t>, the methodology may be tested again in the future.</w:t>
      </w:r>
    </w:p>
    <w:p w:rsidR="00A567FB" w:rsidRPr="001B2E24" w:rsidRDefault="00A567FB" w:rsidP="001B2E24">
      <w:pPr>
        <w:spacing w:after="0"/>
        <w:ind w:left="0" w:firstLineChars="200" w:firstLine="420"/>
        <w:rPr>
          <w:rFonts w:asciiTheme="majorBidi" w:hAnsiTheme="majorBidi" w:cstheme="majorBidi"/>
          <w:sz w:val="21"/>
          <w:szCs w:val="21"/>
          <w:rtl/>
        </w:rPr>
      </w:pPr>
      <w:r w:rsidRPr="001B2E24">
        <w:rPr>
          <w:rFonts w:asciiTheme="majorBidi" w:hAnsiTheme="majorBidi" w:cstheme="majorBidi"/>
          <w:sz w:val="21"/>
          <w:szCs w:val="21"/>
        </w:rPr>
        <w:t xml:space="preserve">There are several possible extensions of this study among them developing </w:t>
      </w:r>
      <w:r w:rsidR="003C44A5" w:rsidRPr="001B2E24">
        <w:rPr>
          <w:rFonts w:asciiTheme="majorBidi" w:hAnsiTheme="majorBidi" w:cstheme="majorBidi"/>
          <w:sz w:val="21"/>
          <w:szCs w:val="21"/>
        </w:rPr>
        <w:t xml:space="preserve">other </w:t>
      </w:r>
      <w:r w:rsidRPr="001B2E24">
        <w:rPr>
          <w:rFonts w:asciiTheme="majorBidi" w:hAnsiTheme="majorBidi" w:cstheme="majorBidi"/>
          <w:sz w:val="21"/>
          <w:szCs w:val="21"/>
        </w:rPr>
        <w:t>methods of populating missing components and implementing more advance</w:t>
      </w:r>
      <w:r w:rsidR="0017554E" w:rsidRPr="001B2E24">
        <w:rPr>
          <w:rFonts w:asciiTheme="majorBidi" w:hAnsiTheme="majorBidi" w:cstheme="majorBidi"/>
          <w:sz w:val="21"/>
          <w:szCs w:val="21"/>
        </w:rPr>
        <w:t>d</w:t>
      </w:r>
      <w:r w:rsidRPr="001B2E24">
        <w:rPr>
          <w:rFonts w:asciiTheme="majorBidi" w:hAnsiTheme="majorBidi" w:cstheme="majorBidi"/>
          <w:sz w:val="21"/>
          <w:szCs w:val="21"/>
        </w:rPr>
        <w:t xml:space="preserve"> methodologies for the ratio analysis. The passage of time, which will allow higher quality filings</w:t>
      </w:r>
      <w:r w:rsidR="0017554E" w:rsidRPr="001B2E24">
        <w:rPr>
          <w:rFonts w:asciiTheme="majorBidi" w:hAnsiTheme="majorBidi" w:cstheme="majorBidi"/>
          <w:sz w:val="21"/>
          <w:szCs w:val="21"/>
        </w:rPr>
        <w:t>,</w:t>
      </w:r>
      <w:r w:rsidRPr="001B2E24">
        <w:rPr>
          <w:rFonts w:asciiTheme="majorBidi" w:hAnsiTheme="majorBidi" w:cstheme="majorBidi"/>
          <w:sz w:val="21"/>
          <w:szCs w:val="21"/>
        </w:rPr>
        <w:t xml:space="preserve"> will also enhance the use of the XBRL data.</w:t>
      </w:r>
    </w:p>
    <w:p w:rsidR="00A567FB" w:rsidRPr="00254D61" w:rsidRDefault="00A567FB" w:rsidP="00530BF5">
      <w:pPr>
        <w:rPr>
          <w:rFonts w:asciiTheme="majorBidi" w:hAnsiTheme="majorBidi" w:cstheme="majorBidi"/>
          <w:sz w:val="24"/>
          <w:szCs w:val="24"/>
        </w:rPr>
      </w:pPr>
      <w:r w:rsidRPr="00254D61">
        <w:rPr>
          <w:rFonts w:asciiTheme="majorBidi" w:hAnsiTheme="majorBidi" w:cstheme="majorBidi"/>
          <w:sz w:val="24"/>
          <w:szCs w:val="24"/>
        </w:rPr>
        <w:t xml:space="preserve">   </w:t>
      </w:r>
    </w:p>
    <w:p w:rsidR="00A567FB" w:rsidRPr="00254D61" w:rsidRDefault="00A567FB" w:rsidP="00530BF5">
      <w:pPr>
        <w:rPr>
          <w:rFonts w:asciiTheme="majorBidi" w:eastAsiaTheme="majorEastAsia" w:hAnsiTheme="majorBidi" w:cstheme="majorBidi"/>
          <w:b/>
          <w:bCs/>
          <w:sz w:val="24"/>
          <w:szCs w:val="24"/>
          <w:lang w:bidi="ar-SA"/>
        </w:rPr>
      </w:pPr>
      <w:r w:rsidRPr="00254D61">
        <w:rPr>
          <w:rFonts w:asciiTheme="majorBidi" w:hAnsiTheme="majorBidi" w:cstheme="majorBidi"/>
          <w:b/>
          <w:bCs/>
          <w:sz w:val="24"/>
          <w:szCs w:val="24"/>
        </w:rPr>
        <w:br w:type="page"/>
      </w:r>
    </w:p>
    <w:p w:rsidR="00A567FB" w:rsidRPr="00254D61" w:rsidRDefault="00A567FB" w:rsidP="00530BF5">
      <w:pPr>
        <w:pStyle w:val="a"/>
        <w:ind w:firstLine="0"/>
        <w:contextualSpacing w:val="0"/>
        <w:rPr>
          <w:rFonts w:asciiTheme="majorBidi" w:hAnsiTheme="majorBidi" w:cstheme="majorBidi"/>
        </w:rPr>
      </w:pPr>
      <w:r w:rsidRPr="00254D61">
        <w:rPr>
          <w:rFonts w:asciiTheme="majorBidi" w:hAnsiTheme="majorBidi" w:cstheme="majorBidi"/>
        </w:rPr>
        <w:t>BIBLIOGRAPHY</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Pr>
          <w:rFonts w:asciiTheme="majorBidi" w:hAnsiTheme="majorBidi" w:cstheme="majorBidi"/>
          <w:sz w:val="24"/>
          <w:szCs w:val="24"/>
        </w:rPr>
        <w:fldChar w:fldCharType="begin" w:fldLock="1"/>
      </w:r>
      <w:r>
        <w:rPr>
          <w:rFonts w:asciiTheme="majorBidi" w:hAnsiTheme="majorBidi" w:cstheme="majorBidi"/>
          <w:sz w:val="24"/>
          <w:szCs w:val="24"/>
        </w:rPr>
        <w:instrText xml:space="preserve">ADDIN Mendeley Bibliography CSL_BIBLIOGRAPHY </w:instrText>
      </w:r>
      <w:r>
        <w:rPr>
          <w:rFonts w:asciiTheme="majorBidi" w:hAnsiTheme="majorBidi" w:cstheme="majorBidi"/>
          <w:sz w:val="24"/>
          <w:szCs w:val="24"/>
        </w:rPr>
        <w:fldChar w:fldCharType="separate"/>
      </w:r>
      <w:r w:rsidRPr="006A5B26">
        <w:rPr>
          <w:rFonts w:ascii="Times New Roman" w:hAnsi="Times New Roman" w:cs="Times New Roman"/>
          <w:noProof/>
          <w:sz w:val="24"/>
          <w:szCs w:val="24"/>
        </w:rPr>
        <w:t xml:space="preserve">Abarbanell, J., &amp; Bushee, B. J. (1998). Abnormal Returns to a Fundamental Analysis Jeffery S . Abarbanell University of North Carolina at Chapel Hill. </w:t>
      </w:r>
      <w:r w:rsidRPr="006A5B26">
        <w:rPr>
          <w:rFonts w:ascii="Times New Roman" w:hAnsi="Times New Roman" w:cs="Times New Roman"/>
          <w:i/>
          <w:iCs/>
          <w:noProof/>
          <w:sz w:val="24"/>
          <w:szCs w:val="24"/>
        </w:rPr>
        <w:t>The Accounting Review</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73</w:t>
      </w:r>
      <w:r w:rsidRPr="006A5B26">
        <w:rPr>
          <w:rFonts w:ascii="Times New Roman" w:hAnsi="Times New Roman" w:cs="Times New Roman"/>
          <w:noProof/>
          <w:sz w:val="24"/>
          <w:szCs w:val="24"/>
        </w:rPr>
        <w:t>(1), 19–45.</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Alam, P., &amp; Brown, C. a. (2006). Disaggregated earnings and the prediction of ROE and stock prices: a case of the banking industry. </w:t>
      </w:r>
      <w:r w:rsidRPr="006A5B26">
        <w:rPr>
          <w:rFonts w:ascii="Times New Roman" w:hAnsi="Times New Roman" w:cs="Times New Roman"/>
          <w:i/>
          <w:iCs/>
          <w:noProof/>
          <w:sz w:val="24"/>
          <w:szCs w:val="24"/>
        </w:rPr>
        <w:t>Review of Accounting and Finance</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5</w:t>
      </w:r>
      <w:r w:rsidRPr="006A5B26">
        <w:rPr>
          <w:rFonts w:ascii="Times New Roman" w:hAnsi="Times New Roman" w:cs="Times New Roman"/>
          <w:noProof/>
          <w:sz w:val="24"/>
          <w:szCs w:val="24"/>
        </w:rPr>
        <w:t>(4), 443–463. https://doi.org/10.1108/14757700610712480</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Amrhein, D. G., Farewell, S., &amp; Pinsker, R. (2009). REA and XBRL GL : Synergies for the 21 st Century Business Reporting System. </w:t>
      </w:r>
      <w:r w:rsidRPr="006A5B26">
        <w:rPr>
          <w:rFonts w:ascii="Times New Roman" w:hAnsi="Times New Roman" w:cs="Times New Roman"/>
          <w:i/>
          <w:iCs/>
          <w:noProof/>
          <w:sz w:val="24"/>
          <w:szCs w:val="24"/>
        </w:rPr>
        <w:t>The International Journal of Digital Accounting Research</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9</w:t>
      </w:r>
      <w:r w:rsidRPr="006A5B26">
        <w:rPr>
          <w:rFonts w:ascii="Times New Roman" w:hAnsi="Times New Roman" w:cs="Times New Roman"/>
          <w:noProof/>
          <w:sz w:val="24"/>
          <w:szCs w:val="24"/>
        </w:rPr>
        <w:t>, 127–152. https://doi.org/10.4192/1577-8517-v9</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Ball, R., &amp; Shivakumar, L. (2008). How much new information is there in earnings? </w:t>
      </w:r>
      <w:r w:rsidRPr="006A5B26">
        <w:rPr>
          <w:rFonts w:ascii="Times New Roman" w:hAnsi="Times New Roman" w:cs="Times New Roman"/>
          <w:i/>
          <w:iCs/>
          <w:noProof/>
          <w:sz w:val="24"/>
          <w:szCs w:val="24"/>
        </w:rPr>
        <w:t>Journal of Accounting Research</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46</w:t>
      </w:r>
      <w:r w:rsidRPr="006A5B26">
        <w:rPr>
          <w:rFonts w:ascii="Times New Roman" w:hAnsi="Times New Roman" w:cs="Times New Roman"/>
          <w:noProof/>
          <w:sz w:val="24"/>
          <w:szCs w:val="24"/>
        </w:rPr>
        <w:t>(5), 975–1016. https://doi.org/10.1111/j.1475-679X.2008.00299.x</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Baranes, A., &amp; Palas, R. (2016). The Prediction of Earnings Movements Using Accounting Data: Using XBRL. </w:t>
      </w:r>
      <w:r w:rsidRPr="006A5B26">
        <w:rPr>
          <w:rFonts w:ascii="Times New Roman" w:hAnsi="Times New Roman" w:cs="Times New Roman"/>
          <w:i/>
          <w:iCs/>
          <w:noProof/>
          <w:sz w:val="24"/>
          <w:szCs w:val="24"/>
        </w:rPr>
        <w:t>International Journal of Accounting Research</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4</w:t>
      </w:r>
      <w:r w:rsidRPr="006A5B26">
        <w:rPr>
          <w:rFonts w:ascii="Times New Roman" w:hAnsi="Times New Roman" w:cs="Times New Roman"/>
          <w:noProof/>
          <w:sz w:val="24"/>
          <w:szCs w:val="24"/>
        </w:rPr>
        <w:t>(2), 1–7. https://doi.org/10.4172/2472-114X.1000143</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Baranes, A., &amp; Palas, R. (2017). The Prediction of Earnings Movements Using Accounting Data: Using XBRL. </w:t>
      </w:r>
      <w:r w:rsidRPr="006A5B26">
        <w:rPr>
          <w:rFonts w:ascii="Times New Roman" w:hAnsi="Times New Roman" w:cs="Times New Roman"/>
          <w:i/>
          <w:iCs/>
          <w:noProof/>
          <w:sz w:val="24"/>
          <w:szCs w:val="24"/>
        </w:rPr>
        <w:t>International Journal of Accounting Research</w:t>
      </w:r>
      <w:r w:rsidRPr="006A5B26">
        <w:rPr>
          <w:rFonts w:ascii="Times New Roman" w:hAnsi="Times New Roman" w:cs="Times New Roman"/>
          <w:noProof/>
          <w:sz w:val="24"/>
          <w:szCs w:val="24"/>
        </w:rPr>
        <w:t>. https://doi.org/10.4172/2472-114X.1000143</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Barbato, G., Barini, E. M., Genta, G., &amp; Levi, R. (2011). Features and performance of some outlier detection methods. </w:t>
      </w:r>
      <w:r w:rsidRPr="006A5B26">
        <w:rPr>
          <w:rFonts w:ascii="Times New Roman" w:hAnsi="Times New Roman" w:cs="Times New Roman"/>
          <w:i/>
          <w:iCs/>
          <w:noProof/>
          <w:sz w:val="24"/>
          <w:szCs w:val="24"/>
        </w:rPr>
        <w:t>Journal of Applied Statistics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38</w:t>
      </w:r>
      <w:r w:rsidRPr="006A5B26">
        <w:rPr>
          <w:rFonts w:ascii="Times New Roman" w:hAnsi="Times New Roman" w:cs="Times New Roman"/>
          <w:noProof/>
          <w:sz w:val="24"/>
          <w:szCs w:val="24"/>
        </w:rPr>
        <w:t>(10), 2133–2149. https://doi.org/10.1080/02664763.2010.545119</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Bird, R., Gerlach, R., &amp; Hall, A. D. (2001). “The prediction of earnings movements using accounting data: An update and extension of Ou and Penman” -- a response. </w:t>
      </w:r>
      <w:r w:rsidRPr="006A5B26">
        <w:rPr>
          <w:rFonts w:ascii="Times New Roman" w:hAnsi="Times New Roman" w:cs="Times New Roman"/>
          <w:i/>
          <w:iCs/>
          <w:noProof/>
          <w:sz w:val="24"/>
          <w:szCs w:val="24"/>
        </w:rPr>
        <w:t>Journal of Asset Management</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w:t>
      </w:r>
      <w:r w:rsidRPr="006A5B26">
        <w:rPr>
          <w:rFonts w:ascii="Times New Roman" w:hAnsi="Times New Roman" w:cs="Times New Roman"/>
          <w:noProof/>
          <w:sz w:val="24"/>
          <w:szCs w:val="24"/>
        </w:rPr>
        <w:t>(2), 180–195. https://doi.org/10.1057/palgrave.jam.2240044</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Bloomfield, R. J., Libby, R., &amp; Nelson, M. W. (2003). Do Investors Overrely on Old Elements of the Earnings Time Series? </w:t>
      </w:r>
      <w:r w:rsidRPr="006A5B26">
        <w:rPr>
          <w:rFonts w:ascii="Times New Roman" w:hAnsi="Times New Roman" w:cs="Times New Roman"/>
          <w:i/>
          <w:iCs/>
          <w:noProof/>
          <w:sz w:val="24"/>
          <w:szCs w:val="24"/>
        </w:rPr>
        <w:t>Contemporary Accounting Research</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20</w:t>
      </w:r>
      <w:r w:rsidRPr="006A5B26">
        <w:rPr>
          <w:rFonts w:ascii="Times New Roman" w:hAnsi="Times New Roman" w:cs="Times New Roman"/>
          <w:noProof/>
          <w:sz w:val="24"/>
          <w:szCs w:val="24"/>
        </w:rPr>
        <w:t>(1), 1–31. https://doi.org/10.1506/N8T8-9QR7-YUCX-91X2</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Boritz, J. E., &amp; No, W. G. (2008). SEC’s XBRL voluntary program on EDGAR: A case for quality assurance. </w:t>
      </w:r>
      <w:r w:rsidRPr="006A5B26">
        <w:rPr>
          <w:rFonts w:ascii="Times New Roman" w:hAnsi="Times New Roman" w:cs="Times New Roman"/>
          <w:i/>
          <w:iCs/>
          <w:noProof/>
          <w:sz w:val="24"/>
          <w:szCs w:val="24"/>
        </w:rPr>
        <w:t>Current</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w:t>
      </w:r>
      <w:r w:rsidRPr="006A5B26">
        <w:rPr>
          <w:rFonts w:ascii="Times New Roman" w:hAnsi="Times New Roman" w:cs="Times New Roman"/>
          <w:noProof/>
          <w:sz w:val="24"/>
          <w:szCs w:val="24"/>
        </w:rPr>
        <w:t>(2), A36–A50.</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Boritz, J. E., &amp; No, W. G. (2013). The Quality of Interactive Data: XBRL versus Compustat, Yahoo Finance, and Google Finance, 0–51. https://doi.org/10.1007/s10551-015-2769-z.For</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Burnham, K. P., &amp; Anderson, D. R. (2004). Multimodel Inference\rUnderstanding AIC and BIC in Model Selection. </w:t>
      </w:r>
      <w:r w:rsidRPr="006A5B26">
        <w:rPr>
          <w:rFonts w:ascii="Times New Roman" w:hAnsi="Times New Roman" w:cs="Times New Roman"/>
          <w:i/>
          <w:iCs/>
          <w:noProof/>
          <w:sz w:val="24"/>
          <w:szCs w:val="24"/>
        </w:rPr>
        <w:t>SOCIOLOGICAL METHODS &amp; RESEARCH</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33</w:t>
      </w:r>
      <w:r w:rsidRPr="006A5B26">
        <w:rPr>
          <w:rFonts w:ascii="Times New Roman" w:hAnsi="Times New Roman" w:cs="Times New Roman"/>
          <w:noProof/>
          <w:sz w:val="24"/>
          <w:szCs w:val="24"/>
        </w:rPr>
        <w:t>(2), 261–304.</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Chychyla, R., &amp; Kogan, A. (2015). Using XBRL to Conduct a Large-Scale Study of Discrepancies between the Accounting Numbers in Compustat and SEC 10-K Filings. </w:t>
      </w:r>
      <w:r w:rsidRPr="006A5B26">
        <w:rPr>
          <w:rFonts w:ascii="Times New Roman" w:hAnsi="Times New Roman" w:cs="Times New Roman"/>
          <w:i/>
          <w:iCs/>
          <w:noProof/>
          <w:sz w:val="24"/>
          <w:szCs w:val="24"/>
        </w:rPr>
        <w:t>Journal of Information Systems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29</w:t>
      </w:r>
      <w:r w:rsidRPr="006A5B26">
        <w:rPr>
          <w:rFonts w:ascii="Times New Roman" w:hAnsi="Times New Roman" w:cs="Times New Roman"/>
          <w:noProof/>
          <w:sz w:val="24"/>
          <w:szCs w:val="24"/>
        </w:rPr>
        <w:t>(1), 37–72. https://doi.org/10.2308/isys-50922</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D’Souza, J. M., Ramesh, K., &amp; Shen, M. (2010). The interdependence between institutional ownership and information dissemination by data aggregators. </w:t>
      </w:r>
      <w:r w:rsidRPr="006A5B26">
        <w:rPr>
          <w:rFonts w:ascii="Times New Roman" w:hAnsi="Times New Roman" w:cs="Times New Roman"/>
          <w:i/>
          <w:iCs/>
          <w:noProof/>
          <w:sz w:val="24"/>
          <w:szCs w:val="24"/>
        </w:rPr>
        <w:t>Accounting Review</w:t>
      </w:r>
      <w:r w:rsidRPr="006A5B26">
        <w:rPr>
          <w:rFonts w:ascii="Times New Roman" w:hAnsi="Times New Roman" w:cs="Times New Roman"/>
          <w:noProof/>
          <w:sz w:val="24"/>
          <w:szCs w:val="24"/>
        </w:rPr>
        <w:t>. https://doi.org/10.2308/accr.2010.85.1.159</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Debreceny, R., Farewell, S., Piechocki, M., Felden, C., &amp; Gräning, A. (2010). Does it add up? Early evidence on the data quality of XBRL filings to the SEC. </w:t>
      </w:r>
      <w:r w:rsidRPr="006A5B26">
        <w:rPr>
          <w:rFonts w:ascii="Times New Roman" w:hAnsi="Times New Roman" w:cs="Times New Roman"/>
          <w:i/>
          <w:iCs/>
          <w:noProof/>
          <w:sz w:val="24"/>
          <w:szCs w:val="24"/>
        </w:rPr>
        <w:t>Journal of Accounting and Public Policy</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29</w:t>
      </w:r>
      <w:r w:rsidRPr="006A5B26">
        <w:rPr>
          <w:rFonts w:ascii="Times New Roman" w:hAnsi="Times New Roman" w:cs="Times New Roman"/>
          <w:noProof/>
          <w:sz w:val="24"/>
          <w:szCs w:val="24"/>
        </w:rPr>
        <w:t>(3), 296–306. https://doi.org/10.1016/j.jaccpubpol.2010.04.001</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Debreceny, R. S., Farewell, S. M., Piechocki, M., Felden, C., Gräning, A., &amp; D’Eri, A. (2011). Flex or break? Extensions in XBRL disclosures to the SEC. </w:t>
      </w:r>
      <w:r w:rsidRPr="006A5B26">
        <w:rPr>
          <w:rFonts w:ascii="Times New Roman" w:hAnsi="Times New Roman" w:cs="Times New Roman"/>
          <w:i/>
          <w:iCs/>
          <w:noProof/>
          <w:sz w:val="24"/>
          <w:szCs w:val="24"/>
        </w:rPr>
        <w:t>Accounting Horizons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25</w:t>
      </w:r>
      <w:r w:rsidRPr="006A5B26">
        <w:rPr>
          <w:rFonts w:ascii="Times New Roman" w:hAnsi="Times New Roman" w:cs="Times New Roman"/>
          <w:noProof/>
          <w:sz w:val="24"/>
          <w:szCs w:val="24"/>
        </w:rPr>
        <w:t>(4), 631–657. https://doi.org/10.2308/acch-50068</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Du, H., Vasarhelyi, M. a., &amp; Zheng, X. (2013). XBRL Mandate: Thousands of Filing Errors and So What? </w:t>
      </w:r>
      <w:r w:rsidRPr="006A5B26">
        <w:rPr>
          <w:rFonts w:ascii="Times New Roman" w:hAnsi="Times New Roman" w:cs="Times New Roman"/>
          <w:i/>
          <w:iCs/>
          <w:noProof/>
          <w:sz w:val="24"/>
          <w:szCs w:val="24"/>
        </w:rPr>
        <w:t>Journal of Information Systems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27</w:t>
      </w:r>
      <w:r w:rsidRPr="006A5B26">
        <w:rPr>
          <w:rFonts w:ascii="Times New Roman" w:hAnsi="Times New Roman" w:cs="Times New Roman"/>
          <w:noProof/>
          <w:sz w:val="24"/>
          <w:szCs w:val="24"/>
        </w:rPr>
        <w:t>(1), 61–78. https://doi.org/10.2308/isys-50399</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Du, H., Vasarhelyi, M. A., &amp; Zheng, X. (2011). XBRL Mandate: Thousands of Filing Errors and So What? Retrieved from http://eycarat.faculty.ku.edu//myssi/_pdf/3-Du et al. XBRL Mandate.pdf</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Henselmann, K., Ditter, D., &amp; Scherr, E. (2015). Irregularities in Accounting Numbers and Earnings Management – A Novel Approach Based on SEC XBRL Filings. </w:t>
      </w:r>
      <w:r w:rsidRPr="006A5B26">
        <w:rPr>
          <w:rFonts w:ascii="Times New Roman" w:hAnsi="Times New Roman" w:cs="Times New Roman"/>
          <w:i/>
          <w:iCs/>
          <w:noProof/>
          <w:sz w:val="24"/>
          <w:szCs w:val="24"/>
        </w:rPr>
        <w:t>Journal of Emerging Technologies in Accounting</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12</w:t>
      </w:r>
      <w:r w:rsidRPr="006A5B26">
        <w:rPr>
          <w:rFonts w:ascii="Times New Roman" w:hAnsi="Times New Roman" w:cs="Times New Roman"/>
          <w:noProof/>
          <w:sz w:val="24"/>
          <w:szCs w:val="24"/>
        </w:rPr>
        <w:t>(1), 117–151. https://doi.org/10.2308/jeta-51247</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Holthausen, R. W., &amp; Larcker, D. F. (1992). The prediction of stock returns using financial statement information. </w:t>
      </w:r>
      <w:r w:rsidRPr="006A5B26">
        <w:rPr>
          <w:rFonts w:ascii="Times New Roman" w:hAnsi="Times New Roman" w:cs="Times New Roman"/>
          <w:i/>
          <w:iCs/>
          <w:noProof/>
          <w:sz w:val="24"/>
          <w:szCs w:val="24"/>
        </w:rPr>
        <w:t>Journal of Accounting and Economics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15</w:t>
      </w:r>
      <w:r w:rsidRPr="006A5B26">
        <w:rPr>
          <w:rFonts w:ascii="Times New Roman" w:hAnsi="Times New Roman" w:cs="Times New Roman"/>
          <w:noProof/>
          <w:sz w:val="24"/>
          <w:szCs w:val="24"/>
        </w:rPr>
        <w:t>(2–3), 373–411. https://doi.org/10.1016/0165-4101(92)90025-W</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Jordan, C. E., Clark, S. J., &amp; Donald, M. (2009). Using financial statement analysis to explain the variation in firms’ earnings-price ratios. </w:t>
      </w:r>
      <w:r w:rsidRPr="006A5B26">
        <w:rPr>
          <w:rFonts w:ascii="Times New Roman" w:hAnsi="Times New Roman" w:cs="Times New Roman"/>
          <w:i/>
          <w:iCs/>
          <w:noProof/>
          <w:sz w:val="24"/>
          <w:szCs w:val="24"/>
        </w:rPr>
        <w:t>Academy of Accounting and Financial Studies Journal</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13</w:t>
      </w:r>
      <w:r w:rsidRPr="006A5B26">
        <w:rPr>
          <w:rFonts w:ascii="Times New Roman" w:hAnsi="Times New Roman" w:cs="Times New Roman"/>
          <w:noProof/>
          <w:sz w:val="24"/>
          <w:szCs w:val="24"/>
        </w:rPr>
        <w:t>(1), 91–102.</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Kaya, D., &amp; Pronobis, P. (2016). The benefits of structured data across the information supply chain: Initial evidence on XBRL adoption and loan contracting of private firms. </w:t>
      </w:r>
      <w:r w:rsidRPr="006A5B26">
        <w:rPr>
          <w:rFonts w:ascii="Times New Roman" w:hAnsi="Times New Roman" w:cs="Times New Roman"/>
          <w:i/>
          <w:iCs/>
          <w:noProof/>
          <w:sz w:val="24"/>
          <w:szCs w:val="24"/>
        </w:rPr>
        <w:t>Journal of Accounting and Public Policy</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35</w:t>
      </w:r>
      <w:r w:rsidRPr="006A5B26">
        <w:rPr>
          <w:rFonts w:ascii="Times New Roman" w:hAnsi="Times New Roman" w:cs="Times New Roman"/>
          <w:noProof/>
          <w:sz w:val="24"/>
          <w:szCs w:val="24"/>
        </w:rPr>
        <w:t>(4). https://doi.org/10.1016/j.jaccpubpol.2016.04.003</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Kinney, M. R., &amp; Swanson, E. P. (1993). The Accuracy and Adequacy of Tax Data in COMPUSTAT. </w:t>
      </w:r>
      <w:r w:rsidRPr="006A5B26">
        <w:rPr>
          <w:rFonts w:ascii="Times New Roman" w:hAnsi="Times New Roman" w:cs="Times New Roman"/>
          <w:i/>
          <w:iCs/>
          <w:noProof/>
          <w:sz w:val="24"/>
          <w:szCs w:val="24"/>
        </w:rPr>
        <w:t>Journal of the American Taxation Association</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15</w:t>
      </w:r>
      <w:r w:rsidRPr="006A5B26">
        <w:rPr>
          <w:rFonts w:ascii="Times New Roman" w:hAnsi="Times New Roman" w:cs="Times New Roman"/>
          <w:noProof/>
          <w:sz w:val="24"/>
          <w:szCs w:val="24"/>
        </w:rPr>
        <w:t>(1), 121. Retrieved from http://search.ebscohost.com/login.aspx?direct=true&amp;db=bth&amp;AN=6147470&amp;site=ehost-live</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Liu, C., &amp; O’Farrell, G. (2013). The role of accounting values in the relation between XBRL and forecast accuracy. </w:t>
      </w:r>
      <w:r w:rsidRPr="006A5B26">
        <w:rPr>
          <w:rFonts w:ascii="Times New Roman" w:hAnsi="Times New Roman" w:cs="Times New Roman"/>
          <w:i/>
          <w:iCs/>
          <w:noProof/>
          <w:sz w:val="24"/>
          <w:szCs w:val="24"/>
        </w:rPr>
        <w:t>International Journal of Accounting and Information Management</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21</w:t>
      </w:r>
      <w:r w:rsidRPr="006A5B26">
        <w:rPr>
          <w:rFonts w:ascii="Times New Roman" w:hAnsi="Times New Roman" w:cs="Times New Roman"/>
          <w:noProof/>
          <w:sz w:val="24"/>
          <w:szCs w:val="24"/>
        </w:rPr>
        <w:t>(4), 297–313. https://doi.org/10.1108/LODJ-03-2012-0043</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Miguel, J. G. S. (1977). The Reliability of R&amp;D Data in COMPUSTAT and 10-K Reports. </w:t>
      </w:r>
      <w:r w:rsidRPr="006A5B26">
        <w:rPr>
          <w:rFonts w:ascii="Times New Roman" w:hAnsi="Times New Roman" w:cs="Times New Roman"/>
          <w:i/>
          <w:iCs/>
          <w:noProof/>
          <w:sz w:val="24"/>
          <w:szCs w:val="24"/>
        </w:rPr>
        <w:t>The Accounting Review</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52</w:t>
      </w:r>
      <w:r w:rsidRPr="006A5B26">
        <w:rPr>
          <w:rFonts w:ascii="Times New Roman" w:hAnsi="Times New Roman" w:cs="Times New Roman"/>
          <w:noProof/>
          <w:sz w:val="24"/>
          <w:szCs w:val="24"/>
        </w:rPr>
        <w:t>(3), 638–641. Retrieved from http://links.jstor.org/sici?sici=0001-4826(197707)52:3%3C638:TRORDI%3E2.0.CO;2-#</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Ou, J. A., &amp; Penman, S. H. (1989). Financial statement analysis and the prediction of stock returns. </w:t>
      </w:r>
      <w:r w:rsidRPr="006A5B26">
        <w:rPr>
          <w:rFonts w:ascii="Times New Roman" w:hAnsi="Times New Roman" w:cs="Times New Roman"/>
          <w:i/>
          <w:iCs/>
          <w:noProof/>
          <w:sz w:val="24"/>
          <w:szCs w:val="24"/>
        </w:rPr>
        <w:t>Journal of Accounting and Economics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11</w:t>
      </w:r>
      <w:r w:rsidRPr="006A5B26">
        <w:rPr>
          <w:rFonts w:ascii="Times New Roman" w:hAnsi="Times New Roman" w:cs="Times New Roman"/>
          <w:noProof/>
          <w:sz w:val="24"/>
          <w:szCs w:val="24"/>
        </w:rPr>
        <w:t>(4), 295–329. https://doi.org/10.1016/0165-4101(89)90017-7</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Penman, S. H., &amp; Zhang, X. J. (2002). Accounting conservatism, the quality of earnings, and stock returns. </w:t>
      </w:r>
      <w:r w:rsidRPr="006A5B26">
        <w:rPr>
          <w:rFonts w:ascii="Times New Roman" w:hAnsi="Times New Roman" w:cs="Times New Roman"/>
          <w:i/>
          <w:iCs/>
          <w:noProof/>
          <w:sz w:val="24"/>
          <w:szCs w:val="24"/>
        </w:rPr>
        <w:t>Accounting Review</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77</w:t>
      </w:r>
      <w:r w:rsidRPr="006A5B26">
        <w:rPr>
          <w:rFonts w:ascii="Times New Roman" w:hAnsi="Times New Roman" w:cs="Times New Roman"/>
          <w:noProof/>
          <w:sz w:val="24"/>
          <w:szCs w:val="24"/>
        </w:rPr>
        <w:t>(2), 237–264. https://doi.org/10.2308/accr.2002.77.2.237</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Rosenberg, B., &amp; Houglet, M. (1974). ERROR RATES IN CRSP AND COMPUSTAT DATA BASES AND THEIR IMPLICATIONS. </w:t>
      </w:r>
      <w:r w:rsidRPr="006A5B26">
        <w:rPr>
          <w:rFonts w:ascii="Times New Roman" w:hAnsi="Times New Roman" w:cs="Times New Roman"/>
          <w:i/>
          <w:iCs/>
          <w:noProof/>
          <w:sz w:val="24"/>
          <w:szCs w:val="24"/>
        </w:rPr>
        <w:t>The Journal of Finance</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29</w:t>
      </w:r>
      <w:r w:rsidRPr="006A5B26">
        <w:rPr>
          <w:rFonts w:ascii="Times New Roman" w:hAnsi="Times New Roman" w:cs="Times New Roman"/>
          <w:noProof/>
          <w:sz w:val="24"/>
          <w:szCs w:val="24"/>
        </w:rPr>
        <w:t>(4), 1303–1310. https://doi.org/10.1111/j.1540-6261.1974.tb03107.x</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Rubin, D. B. (1996). Multiple Imputation after 18+ Years. </w:t>
      </w:r>
      <w:r w:rsidRPr="006A5B26">
        <w:rPr>
          <w:rFonts w:ascii="Times New Roman" w:hAnsi="Times New Roman" w:cs="Times New Roman"/>
          <w:i/>
          <w:iCs/>
          <w:noProof/>
          <w:sz w:val="24"/>
          <w:szCs w:val="24"/>
        </w:rPr>
        <w:t>Journal of the American Statistical Association</w:t>
      </w:r>
      <w:r w:rsidRPr="006A5B26">
        <w:rPr>
          <w:rFonts w:ascii="Times New Roman" w:hAnsi="Times New Roman" w:cs="Times New Roman"/>
          <w:noProof/>
          <w:sz w:val="24"/>
          <w:szCs w:val="24"/>
        </w:rPr>
        <w:t>. https://doi.org/10.1080/01621459.1996.10476908</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SEC. (2009). </w:t>
      </w:r>
      <w:r w:rsidRPr="006A5B26">
        <w:rPr>
          <w:rFonts w:ascii="Times New Roman" w:hAnsi="Times New Roman" w:cs="Times New Roman"/>
          <w:i/>
          <w:iCs/>
          <w:noProof/>
          <w:sz w:val="24"/>
          <w:szCs w:val="24"/>
        </w:rPr>
        <w:t>Interactive Data to Improve Financial Reporting. Release Nos. 33-9002, 34-59324; 39-2461; IC-28609.</w:t>
      </w:r>
      <w:r w:rsidRPr="006A5B26">
        <w:rPr>
          <w:rFonts w:ascii="Times New Roman" w:hAnsi="Times New Roman" w:cs="Times New Roman"/>
          <w:noProof/>
          <w:sz w:val="24"/>
          <w:szCs w:val="24"/>
        </w:rPr>
        <w:t xml:space="preserve"> Washington D.C.</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Setiono, B., &amp; Strong, N. (1998). Predicting stock returns using financial statement information. </w:t>
      </w:r>
      <w:r w:rsidRPr="006A5B26">
        <w:rPr>
          <w:rFonts w:ascii="Times New Roman" w:hAnsi="Times New Roman" w:cs="Times New Roman"/>
          <w:i/>
          <w:iCs/>
          <w:noProof/>
          <w:sz w:val="24"/>
          <w:szCs w:val="24"/>
        </w:rPr>
        <w:t>Journal of Business Finance and Accounting</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25</w:t>
      </w:r>
      <w:r w:rsidRPr="006A5B26">
        <w:rPr>
          <w:rFonts w:ascii="Times New Roman" w:hAnsi="Times New Roman" w:cs="Times New Roman"/>
          <w:noProof/>
          <w:sz w:val="24"/>
          <w:szCs w:val="24"/>
        </w:rPr>
        <w:t>(5–6), 631–657. https://doi.org/10.1111/1468-5957.t01-1-00205</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Stober, T. L. (1992). Summary financial statement measures and analysts’ forecasts of earnings. </w:t>
      </w:r>
      <w:r w:rsidRPr="006A5B26">
        <w:rPr>
          <w:rFonts w:ascii="Times New Roman" w:hAnsi="Times New Roman" w:cs="Times New Roman"/>
          <w:i/>
          <w:iCs/>
          <w:noProof/>
          <w:sz w:val="24"/>
          <w:szCs w:val="24"/>
        </w:rPr>
        <w:t>Journal of Accounting and Economics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15</w:t>
      </w:r>
      <w:r w:rsidRPr="006A5B26">
        <w:rPr>
          <w:rFonts w:ascii="Times New Roman" w:hAnsi="Times New Roman" w:cs="Times New Roman"/>
          <w:noProof/>
          <w:sz w:val="24"/>
          <w:szCs w:val="24"/>
        </w:rPr>
        <w:t>(2–3), 347–372. https://doi.org/10.1016/0165-4101(92)90024-V</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Tallapally, P., Luehlfing, M. S., &amp; Motha, M. (2011). The Partnership Of EDGAR Online And XBRL - Should Compustat Care? </w:t>
      </w:r>
      <w:r w:rsidRPr="006A5B26">
        <w:rPr>
          <w:rFonts w:ascii="Times New Roman" w:hAnsi="Times New Roman" w:cs="Times New Roman"/>
          <w:i/>
          <w:iCs/>
          <w:noProof/>
          <w:sz w:val="24"/>
          <w:szCs w:val="24"/>
        </w:rPr>
        <w:t>The Review of Business Information Systems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15</w:t>
      </w:r>
      <w:r w:rsidRPr="006A5B26">
        <w:rPr>
          <w:rFonts w:ascii="Times New Roman" w:hAnsi="Times New Roman" w:cs="Times New Roman"/>
          <w:noProof/>
          <w:sz w:val="24"/>
          <w:szCs w:val="24"/>
        </w:rPr>
        <w:t>, 39–46. Retrieved from http://search.proquest.com/docview/900720360?accountid=11262</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Vasarhelyi, M. a., Chan, D. Y., &amp; Krahel, J. P. (2012). Consequences of XBRL Standardization on Financial Statement Data. </w:t>
      </w:r>
      <w:r w:rsidRPr="006A5B26">
        <w:rPr>
          <w:rFonts w:ascii="Times New Roman" w:hAnsi="Times New Roman" w:cs="Times New Roman"/>
          <w:i/>
          <w:iCs/>
          <w:noProof/>
          <w:sz w:val="24"/>
          <w:szCs w:val="24"/>
        </w:rPr>
        <w:t>Journal of Information Systems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26</w:t>
      </w:r>
      <w:r w:rsidRPr="006A5B26">
        <w:rPr>
          <w:rFonts w:ascii="Times New Roman" w:hAnsi="Times New Roman" w:cs="Times New Roman"/>
          <w:noProof/>
          <w:sz w:val="24"/>
          <w:szCs w:val="24"/>
        </w:rPr>
        <w:t>(1), 155–167. https://doi.org/10.2308/isys-10258</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szCs w:val="24"/>
        </w:rPr>
      </w:pPr>
      <w:r w:rsidRPr="006A5B26">
        <w:rPr>
          <w:rFonts w:ascii="Times New Roman" w:hAnsi="Times New Roman" w:cs="Times New Roman"/>
          <w:noProof/>
          <w:sz w:val="24"/>
          <w:szCs w:val="24"/>
        </w:rPr>
        <w:t xml:space="preserve">Williams, K. L. (2015). </w:t>
      </w:r>
      <w:r w:rsidRPr="006A5B26">
        <w:rPr>
          <w:rFonts w:ascii="Times New Roman" w:hAnsi="Times New Roman" w:cs="Times New Roman"/>
          <w:i/>
          <w:iCs/>
          <w:noProof/>
          <w:sz w:val="24"/>
          <w:szCs w:val="24"/>
        </w:rPr>
        <w:t>The Prediction of Future Earnings Using Financial Statement Information: Are XBRL Company Filings up to the Task?</w:t>
      </w:r>
    </w:p>
    <w:p w:rsidR="006A5B26" w:rsidRPr="006A5B26" w:rsidRDefault="006A5B26" w:rsidP="006A5B26">
      <w:pPr>
        <w:widowControl w:val="0"/>
        <w:autoSpaceDE w:val="0"/>
        <w:autoSpaceDN w:val="0"/>
        <w:adjustRightInd w:val="0"/>
        <w:ind w:left="480" w:hanging="480"/>
        <w:rPr>
          <w:rFonts w:ascii="Times New Roman" w:hAnsi="Times New Roman" w:cs="Times New Roman"/>
          <w:noProof/>
          <w:sz w:val="24"/>
        </w:rPr>
      </w:pPr>
      <w:r w:rsidRPr="006A5B26">
        <w:rPr>
          <w:rFonts w:ascii="Times New Roman" w:hAnsi="Times New Roman" w:cs="Times New Roman"/>
          <w:noProof/>
          <w:sz w:val="24"/>
          <w:szCs w:val="24"/>
        </w:rPr>
        <w:t xml:space="preserve">Yang, D. C., Vasarhelyi, M. a., &amp; Liu, C. (2003). A note on the using of accounting databases. </w:t>
      </w:r>
      <w:r w:rsidRPr="006A5B26">
        <w:rPr>
          <w:rFonts w:ascii="Times New Roman" w:hAnsi="Times New Roman" w:cs="Times New Roman"/>
          <w:i/>
          <w:iCs/>
          <w:noProof/>
          <w:sz w:val="24"/>
          <w:szCs w:val="24"/>
        </w:rPr>
        <w:t>Industrial Management &amp; Data Systems</w:t>
      </w:r>
      <w:r w:rsidRPr="006A5B26">
        <w:rPr>
          <w:rFonts w:ascii="Times New Roman" w:hAnsi="Times New Roman" w:cs="Times New Roman"/>
          <w:noProof/>
          <w:sz w:val="24"/>
          <w:szCs w:val="24"/>
        </w:rPr>
        <w:t xml:space="preserve">, </w:t>
      </w:r>
      <w:r w:rsidRPr="006A5B26">
        <w:rPr>
          <w:rFonts w:ascii="Times New Roman" w:hAnsi="Times New Roman" w:cs="Times New Roman"/>
          <w:i/>
          <w:iCs/>
          <w:noProof/>
          <w:sz w:val="24"/>
          <w:szCs w:val="24"/>
        </w:rPr>
        <w:t>103</w:t>
      </w:r>
      <w:r w:rsidRPr="006A5B26">
        <w:rPr>
          <w:rFonts w:ascii="Times New Roman" w:hAnsi="Times New Roman" w:cs="Times New Roman"/>
          <w:noProof/>
          <w:sz w:val="24"/>
          <w:szCs w:val="24"/>
        </w:rPr>
        <w:t>(3), 204–210. https://doi.org/10.1108/02635570310465689</w:t>
      </w:r>
    </w:p>
    <w:p w:rsidR="00EE3E07" w:rsidRPr="00254D61" w:rsidRDefault="006A5B26" w:rsidP="00530BF5">
      <w:pPr>
        <w:rPr>
          <w:rFonts w:asciiTheme="majorBidi" w:eastAsiaTheme="majorEastAsia" w:hAnsiTheme="majorBidi" w:cstheme="majorBidi"/>
          <w:color w:val="2E74B5" w:themeColor="accent1" w:themeShade="BF"/>
          <w:sz w:val="24"/>
          <w:szCs w:val="24"/>
        </w:rPr>
      </w:pPr>
      <w:r>
        <w:rPr>
          <w:rFonts w:asciiTheme="majorBidi" w:hAnsiTheme="majorBidi" w:cstheme="majorBidi"/>
          <w:sz w:val="24"/>
          <w:szCs w:val="24"/>
        </w:rPr>
        <w:fldChar w:fldCharType="end"/>
      </w:r>
      <w:r w:rsidR="00EE3E07" w:rsidRPr="00254D61">
        <w:rPr>
          <w:rFonts w:asciiTheme="majorBidi" w:hAnsiTheme="majorBidi" w:cstheme="majorBidi"/>
          <w:sz w:val="24"/>
          <w:szCs w:val="24"/>
        </w:rPr>
        <w:br w:type="page"/>
      </w:r>
    </w:p>
    <w:p w:rsidR="00A567FB" w:rsidRPr="00254D61" w:rsidRDefault="00A567FB" w:rsidP="00530BF5">
      <w:pPr>
        <w:pStyle w:val="a"/>
        <w:ind w:firstLine="0"/>
        <w:rPr>
          <w:rFonts w:asciiTheme="majorBidi" w:hAnsiTheme="majorBidi" w:cstheme="majorBidi"/>
        </w:rPr>
        <w:sectPr w:rsidR="00A567FB" w:rsidRPr="00254D61" w:rsidSect="00530BF5">
          <w:pgSz w:w="11906" w:h="16838"/>
          <w:pgMar w:top="1440" w:right="1080" w:bottom="1440" w:left="1080" w:header="709" w:footer="709" w:gutter="0"/>
          <w:cols w:space="708"/>
          <w:bidi/>
          <w:rtlGutter/>
          <w:docGrid w:linePitch="360"/>
        </w:sectPr>
      </w:pPr>
    </w:p>
    <w:p w:rsidR="00A567FB" w:rsidRPr="00254D61" w:rsidRDefault="00A567FB" w:rsidP="00530BF5">
      <w:pPr>
        <w:pStyle w:val="a"/>
        <w:ind w:firstLine="0"/>
        <w:rPr>
          <w:rFonts w:asciiTheme="majorBidi" w:hAnsiTheme="majorBidi" w:cstheme="majorBidi"/>
        </w:rPr>
      </w:pPr>
      <w:r w:rsidRPr="00254D61">
        <w:rPr>
          <w:rFonts w:asciiTheme="majorBidi" w:hAnsiTheme="majorBidi" w:cstheme="majorBidi"/>
        </w:rPr>
        <w:t xml:space="preserve">Appendix 1 - </w:t>
      </w:r>
      <w:r w:rsidRPr="00254D61">
        <w:rPr>
          <w:rFonts w:asciiTheme="majorBidi" w:eastAsia="Times New Roman" w:hAnsiTheme="majorBidi" w:cstheme="majorBidi"/>
          <w:shd w:val="clear" w:color="auto" w:fill="FFFFFF"/>
        </w:rPr>
        <w:t>Univariate LOGIT estimation results for all accounting descriptors selected.</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49"/>
        <w:gridCol w:w="42"/>
        <w:gridCol w:w="1589"/>
        <w:gridCol w:w="89"/>
        <w:gridCol w:w="751"/>
        <w:gridCol w:w="686"/>
        <w:gridCol w:w="721"/>
        <w:gridCol w:w="993"/>
        <w:gridCol w:w="39"/>
        <w:gridCol w:w="712"/>
        <w:gridCol w:w="686"/>
        <w:gridCol w:w="721"/>
        <w:gridCol w:w="993"/>
        <w:gridCol w:w="18"/>
        <w:gridCol w:w="733"/>
        <w:gridCol w:w="686"/>
        <w:gridCol w:w="721"/>
        <w:gridCol w:w="993"/>
        <w:gridCol w:w="718"/>
        <w:gridCol w:w="805"/>
        <w:gridCol w:w="733"/>
        <w:gridCol w:w="1025"/>
      </w:tblGrid>
      <w:tr w:rsidR="00E03B87" w:rsidRPr="00254D61" w:rsidTr="00B825E4">
        <w:trPr>
          <w:trHeight w:val="20"/>
          <w:jc w:val="center"/>
        </w:trPr>
        <w:tc>
          <w:tcPr>
            <w:tcW w:w="165" w:type="pct"/>
            <w:gridSpan w:val="2"/>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No.</w:t>
            </w:r>
          </w:p>
        </w:tc>
        <w:tc>
          <w:tcPr>
            <w:tcW w:w="533"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Accounting Descriptor</w:t>
            </w:r>
          </w:p>
        </w:tc>
        <w:tc>
          <w:tcPr>
            <w:tcW w:w="1100" w:type="pct"/>
            <w:gridSpan w:val="6"/>
            <w:shd w:val="clear" w:color="auto" w:fill="auto"/>
            <w:noWrap/>
            <w:vAlign w:val="center"/>
            <w:hideMark/>
          </w:tcPr>
          <w:p w:rsidR="00E03B87" w:rsidRPr="00254D61" w:rsidRDefault="00E03B87" w:rsidP="00E03B87">
            <w:pPr>
              <w:spacing w:after="0" w:line="240" w:lineRule="auto"/>
              <w:ind w:left="0"/>
              <w:jc w:val="center"/>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Q3/ 2015</w:t>
            </w:r>
          </w:p>
        </w:tc>
        <w:tc>
          <w:tcPr>
            <w:tcW w:w="1050" w:type="pct"/>
            <w:gridSpan w:val="5"/>
            <w:shd w:val="clear" w:color="auto" w:fill="auto"/>
            <w:noWrap/>
            <w:vAlign w:val="center"/>
            <w:hideMark/>
          </w:tcPr>
          <w:p w:rsidR="00E03B87" w:rsidRPr="00254D61" w:rsidRDefault="00E03B87" w:rsidP="00E03B87">
            <w:pPr>
              <w:spacing w:after="0" w:line="240" w:lineRule="auto"/>
              <w:ind w:left="0"/>
              <w:jc w:val="center"/>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Q4/ 2015</w:t>
            </w:r>
          </w:p>
        </w:tc>
        <w:tc>
          <w:tcPr>
            <w:tcW w:w="1051" w:type="pct"/>
            <w:gridSpan w:val="4"/>
            <w:shd w:val="clear" w:color="auto" w:fill="auto"/>
            <w:noWrap/>
            <w:vAlign w:val="center"/>
            <w:hideMark/>
          </w:tcPr>
          <w:p w:rsidR="00E03B87" w:rsidRPr="00254D61" w:rsidRDefault="00E03B87" w:rsidP="00E03B87">
            <w:pPr>
              <w:spacing w:after="0" w:line="240" w:lineRule="auto"/>
              <w:ind w:left="0"/>
              <w:jc w:val="center"/>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Q1/ 2016</w:t>
            </w:r>
          </w:p>
        </w:tc>
        <w:tc>
          <w:tcPr>
            <w:tcW w:w="1100" w:type="pct"/>
            <w:gridSpan w:val="4"/>
            <w:shd w:val="clear" w:color="auto" w:fill="auto"/>
            <w:noWrap/>
            <w:vAlign w:val="center"/>
            <w:hideMark/>
          </w:tcPr>
          <w:p w:rsidR="00E03B87" w:rsidRPr="00254D61" w:rsidRDefault="00E03B87" w:rsidP="00E03B87">
            <w:pPr>
              <w:spacing w:after="0" w:line="240" w:lineRule="auto"/>
              <w:ind w:left="0"/>
              <w:jc w:val="center"/>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Q2/ 2016</w:t>
            </w:r>
          </w:p>
        </w:tc>
      </w:tr>
      <w:tr w:rsidR="00E03B87" w:rsidRPr="00254D61" w:rsidTr="00B825E4">
        <w:trPr>
          <w:trHeight w:val="20"/>
          <w:jc w:val="center"/>
        </w:trPr>
        <w:tc>
          <w:tcPr>
            <w:tcW w:w="151" w:type="pct"/>
            <w:shd w:val="clear" w:color="auto" w:fill="auto"/>
            <w:vAlign w:val="center"/>
            <w:hideMark/>
          </w:tcPr>
          <w:p w:rsidR="00E03B87" w:rsidRPr="00254D61" w:rsidRDefault="00E03B87" w:rsidP="00E03B87">
            <w:pPr>
              <w:spacing w:after="0" w:line="240" w:lineRule="auto"/>
              <w:ind w:left="0"/>
              <w:jc w:val="center"/>
              <w:rPr>
                <w:rFonts w:asciiTheme="majorBidi" w:eastAsia="Times New Roman" w:hAnsiTheme="majorBidi" w:cstheme="majorBidi"/>
                <w:color w:val="000000"/>
                <w:sz w:val="24"/>
                <w:szCs w:val="24"/>
              </w:rPr>
            </w:pP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p>
        </w:tc>
        <w:tc>
          <w:tcPr>
            <w:tcW w:w="252"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proofErr w:type="spellStart"/>
            <w:r w:rsidRPr="00254D61">
              <w:rPr>
                <w:rFonts w:asciiTheme="majorBidi" w:eastAsia="Times New Roman" w:hAnsiTheme="majorBidi" w:cstheme="majorBidi"/>
                <w:sz w:val="24"/>
                <w:szCs w:val="24"/>
              </w:rPr>
              <w:t>Coeff</w:t>
            </w:r>
            <w:proofErr w:type="spellEnd"/>
          </w:p>
        </w:tc>
        <w:tc>
          <w:tcPr>
            <w:tcW w:w="230"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Chi</w:t>
            </w:r>
          </w:p>
        </w:tc>
        <w:tc>
          <w:tcPr>
            <w:tcW w:w="242"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p-</w:t>
            </w:r>
            <w:proofErr w:type="spellStart"/>
            <w:r w:rsidRPr="00254D61">
              <w:rPr>
                <w:rFonts w:asciiTheme="majorBidi" w:eastAsia="Times New Roman" w:hAnsiTheme="majorBidi" w:cstheme="majorBidi"/>
                <w:sz w:val="24"/>
                <w:szCs w:val="24"/>
              </w:rPr>
              <w:t>val</w:t>
            </w:r>
            <w:proofErr w:type="spellEnd"/>
          </w:p>
        </w:tc>
        <w:tc>
          <w:tcPr>
            <w:tcW w:w="333"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 xml:space="preserve">  Nobs  </w:t>
            </w:r>
          </w:p>
        </w:tc>
        <w:tc>
          <w:tcPr>
            <w:tcW w:w="252" w:type="pct"/>
            <w:gridSpan w:val="2"/>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proofErr w:type="spellStart"/>
            <w:r w:rsidRPr="00254D61">
              <w:rPr>
                <w:rFonts w:asciiTheme="majorBidi" w:eastAsia="Times New Roman" w:hAnsiTheme="majorBidi" w:cstheme="majorBidi"/>
                <w:sz w:val="24"/>
                <w:szCs w:val="24"/>
              </w:rPr>
              <w:t>Coeff</w:t>
            </w:r>
            <w:proofErr w:type="spellEnd"/>
          </w:p>
        </w:tc>
        <w:tc>
          <w:tcPr>
            <w:tcW w:w="230"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Chi</w:t>
            </w:r>
          </w:p>
        </w:tc>
        <w:tc>
          <w:tcPr>
            <w:tcW w:w="242"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p-</w:t>
            </w:r>
            <w:proofErr w:type="spellStart"/>
            <w:r w:rsidRPr="00254D61">
              <w:rPr>
                <w:rFonts w:asciiTheme="majorBidi" w:eastAsia="Times New Roman" w:hAnsiTheme="majorBidi" w:cstheme="majorBidi"/>
                <w:sz w:val="24"/>
                <w:szCs w:val="24"/>
              </w:rPr>
              <w:t>val</w:t>
            </w:r>
            <w:proofErr w:type="spellEnd"/>
          </w:p>
        </w:tc>
        <w:tc>
          <w:tcPr>
            <w:tcW w:w="333"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 xml:space="preserve">  Nobs  </w:t>
            </w:r>
          </w:p>
        </w:tc>
        <w:tc>
          <w:tcPr>
            <w:tcW w:w="252" w:type="pct"/>
            <w:gridSpan w:val="2"/>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proofErr w:type="spellStart"/>
            <w:r w:rsidRPr="00254D61">
              <w:rPr>
                <w:rFonts w:asciiTheme="majorBidi" w:eastAsia="Times New Roman" w:hAnsiTheme="majorBidi" w:cstheme="majorBidi"/>
                <w:sz w:val="24"/>
                <w:szCs w:val="24"/>
              </w:rPr>
              <w:t>Coeff</w:t>
            </w:r>
            <w:proofErr w:type="spellEnd"/>
          </w:p>
        </w:tc>
        <w:tc>
          <w:tcPr>
            <w:tcW w:w="230"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Chi</w:t>
            </w:r>
          </w:p>
        </w:tc>
        <w:tc>
          <w:tcPr>
            <w:tcW w:w="242"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p-</w:t>
            </w:r>
            <w:proofErr w:type="spellStart"/>
            <w:r w:rsidRPr="00254D61">
              <w:rPr>
                <w:rFonts w:asciiTheme="majorBidi" w:eastAsia="Times New Roman" w:hAnsiTheme="majorBidi" w:cstheme="majorBidi"/>
                <w:sz w:val="24"/>
                <w:szCs w:val="24"/>
              </w:rPr>
              <w:t>val</w:t>
            </w:r>
            <w:proofErr w:type="spellEnd"/>
          </w:p>
        </w:tc>
        <w:tc>
          <w:tcPr>
            <w:tcW w:w="333"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 xml:space="preserve">  Nobs  </w:t>
            </w:r>
          </w:p>
        </w:tc>
        <w:tc>
          <w:tcPr>
            <w:tcW w:w="241" w:type="pct"/>
            <w:shd w:val="clear" w:color="auto" w:fill="auto"/>
            <w:vAlign w:val="center"/>
          </w:tcPr>
          <w:p w:rsidR="00E03B87" w:rsidRPr="00254D61" w:rsidRDefault="00E03B87" w:rsidP="00E03B87">
            <w:pPr>
              <w:spacing w:after="0" w:line="240" w:lineRule="auto"/>
              <w:ind w:left="0"/>
              <w:rPr>
                <w:rFonts w:asciiTheme="majorBidi" w:eastAsia="Times New Roman" w:hAnsiTheme="majorBidi" w:cstheme="majorBidi"/>
                <w:sz w:val="24"/>
                <w:szCs w:val="24"/>
              </w:rPr>
            </w:pPr>
            <w:proofErr w:type="spellStart"/>
            <w:r w:rsidRPr="00254D61">
              <w:rPr>
                <w:rFonts w:asciiTheme="majorBidi" w:eastAsia="Times New Roman" w:hAnsiTheme="majorBidi" w:cstheme="majorBidi"/>
                <w:sz w:val="24"/>
                <w:szCs w:val="24"/>
              </w:rPr>
              <w:t>Coeff</w:t>
            </w:r>
            <w:proofErr w:type="spellEnd"/>
          </w:p>
        </w:tc>
        <w:tc>
          <w:tcPr>
            <w:tcW w:w="270" w:type="pct"/>
            <w:shd w:val="clear" w:color="auto" w:fill="auto"/>
            <w:vAlign w:val="center"/>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Chi</w:t>
            </w:r>
          </w:p>
        </w:tc>
        <w:tc>
          <w:tcPr>
            <w:tcW w:w="246" w:type="pct"/>
            <w:shd w:val="clear" w:color="auto" w:fill="auto"/>
            <w:vAlign w:val="center"/>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p-</w:t>
            </w:r>
            <w:proofErr w:type="spellStart"/>
            <w:r w:rsidRPr="00254D61">
              <w:rPr>
                <w:rFonts w:asciiTheme="majorBidi" w:eastAsia="Times New Roman" w:hAnsiTheme="majorBidi" w:cstheme="majorBidi"/>
                <w:sz w:val="24"/>
                <w:szCs w:val="24"/>
              </w:rPr>
              <w:t>val</w:t>
            </w:r>
            <w:proofErr w:type="spellEnd"/>
          </w:p>
        </w:tc>
        <w:tc>
          <w:tcPr>
            <w:tcW w:w="344" w:type="pct"/>
            <w:shd w:val="clear" w:color="auto" w:fill="auto"/>
            <w:vAlign w:val="center"/>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 xml:space="preserve">  Nobs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Current Ratio</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3.79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23,209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2.68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0.102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23,441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2.84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0.092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23,570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-0.016</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2.7</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23,756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Quick Ratio</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15.92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22,710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16.25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22,886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16.1</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22,933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-0.054</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16.95</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23,050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 xml:space="preserve">Days Sales Accounts </w:t>
            </w:r>
            <w:proofErr w:type="spellStart"/>
            <w:r w:rsidRPr="00254D61">
              <w:rPr>
                <w:rFonts w:asciiTheme="majorBidi" w:eastAsia="Times New Roman" w:hAnsiTheme="majorBidi" w:cstheme="majorBidi"/>
                <w:sz w:val="20"/>
                <w:szCs w:val="20"/>
              </w:rPr>
              <w:t>Recv</w:t>
            </w:r>
            <w:proofErr w:type="spellEnd"/>
            <w:r w:rsidRPr="00254D61">
              <w:rPr>
                <w:rFonts w:asciiTheme="majorBidi" w:eastAsia="Times New Roman" w:hAnsiTheme="majorBidi" w:cstheme="majorBidi"/>
                <w:sz w:val="20"/>
                <w:szCs w:val="20"/>
              </w:rPr>
              <w:t>.</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8.99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0.003</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22,666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12.79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22,857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12.35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22,943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11.15</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0.001</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23,075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4</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Depreciation to PP&amp;E</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0.387</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23,680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0.623</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23,947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0.625</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24,100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-0.007</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0.19</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0.664</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24,336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5</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Return on Operating Expenditures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-12.671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814.19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23,254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-12.61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813.91</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23,405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-12.33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788.99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23,508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-12.212</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783.33</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23,629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6</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Long Term Debt to Equity</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0.044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3.01</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0.083</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22,230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0.555</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22,459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0.344</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22,563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0.034</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1.92</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0.166</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22,753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7</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Equity to Fixed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2.96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0.085</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24,298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0.162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24,558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0.094</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24,689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-0.003</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1.24</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0.266</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24,900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8</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Sales to Total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-0.457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28.14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24,670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20.77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24,952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-0.373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25,114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-0.393</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21.59</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25,369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9</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ROA</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-25.9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796.03</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23,692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-26.045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811.49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23,921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-26.032</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819.37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24,083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-26.008</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823.88</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24,280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10</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ROCE</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-12.337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786.57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23,135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-12.312</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791.55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23,278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-12.056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767.99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23,374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-11.935</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763.33</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23,487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11</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Gross Profit Margin</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-0.138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8.58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0.003</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24,283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-0.174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13.85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24,550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-0.198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18.21</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24,708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-0.197</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18.42</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24,894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12</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EBITDA to Sales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-0.871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146.32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24,521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-0.925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169.7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24,782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-0.985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195.2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24,918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-0.962</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190.19</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25,131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13</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Pretax Income to Sales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-2.29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517.09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24,797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-2.291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530.36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25,012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-2.336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559.49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25,129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-2.32</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563.29</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25,284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14</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Net Profit Margin</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-3.395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647.38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24,574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-3.369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652.88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24,771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-3.396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678.22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24,906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-3.356</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675.77</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25,046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15</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 xml:space="preserve">Sales to Total Accounts </w:t>
            </w:r>
            <w:proofErr w:type="spellStart"/>
            <w:r w:rsidRPr="00254D61">
              <w:rPr>
                <w:rFonts w:asciiTheme="majorBidi" w:eastAsia="Times New Roman" w:hAnsiTheme="majorBidi" w:cstheme="majorBidi"/>
                <w:sz w:val="20"/>
                <w:szCs w:val="20"/>
              </w:rPr>
              <w:t>Recv</w:t>
            </w:r>
            <w:proofErr w:type="spellEnd"/>
            <w:r w:rsidRPr="00254D61">
              <w:rPr>
                <w:rFonts w:asciiTheme="majorBidi" w:eastAsia="Times New Roman" w:hAnsiTheme="majorBidi" w:cstheme="majorBidi"/>
                <w:sz w:val="20"/>
                <w:szCs w:val="20"/>
              </w:rPr>
              <w:t>.</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3.48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0.062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22,121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4.44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0.035</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22,323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4.18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0.041</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22,443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-0.031</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5.74</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0.017</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22,624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16</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Sales to Fixed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9.02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0.003</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23,475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8.19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0.004</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23,733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5.87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0.015</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23,877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-0.017</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3.74</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0.053</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24,102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17</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Working Capital to Total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-0.107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3.18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0.074</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25,650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-0.082</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0.172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25,921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-0.082</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0.169</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26,028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-0.107</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3.25</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0.071</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26,241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18</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Operating Income to Total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-14.497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497.08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24,017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-14.53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504.44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24,260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-14.709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516.11</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24,388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-14.941</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534.33</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24,579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19</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Working</w:t>
            </w:r>
            <w:proofErr w:type="gramEnd"/>
            <w:r w:rsidRPr="00254D61">
              <w:rPr>
                <w:rFonts w:asciiTheme="majorBidi" w:eastAsia="Times New Roman" w:hAnsiTheme="majorBidi" w:cstheme="majorBidi"/>
                <w:sz w:val="20"/>
                <w:szCs w:val="20"/>
              </w:rPr>
              <w:t xml:space="preserve"> Capital</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-0.742</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102.07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22,487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108.74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22,743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-0.666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85.14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22,853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-0.656</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83.79</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22,982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20</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Current</w:t>
            </w:r>
            <w:proofErr w:type="gramEnd"/>
            <w:r w:rsidRPr="00254D61">
              <w:rPr>
                <w:rFonts w:asciiTheme="majorBidi" w:eastAsia="Times New Roman" w:hAnsiTheme="majorBidi" w:cstheme="majorBidi"/>
                <w:sz w:val="20"/>
                <w:szCs w:val="20"/>
              </w:rPr>
              <w:t xml:space="preserve"> Ratio</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-1.115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111.32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22,824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-1.132</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115.9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23,048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-1.112</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112.76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23,164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-1.077</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107.2</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23,327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21</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Quick</w:t>
            </w:r>
            <w:proofErr w:type="gramEnd"/>
            <w:r w:rsidRPr="00254D61">
              <w:rPr>
                <w:rFonts w:asciiTheme="majorBidi" w:eastAsia="Times New Roman" w:hAnsiTheme="majorBidi" w:cstheme="majorBidi"/>
                <w:sz w:val="20"/>
                <w:szCs w:val="20"/>
              </w:rPr>
              <w:t xml:space="preserve"> Ratio</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-1.098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202.35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23,370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-1.147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221.51</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23,546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-1.107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209.65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23,603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-1.102</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209.33</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23,690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22</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Days</w:t>
            </w:r>
            <w:proofErr w:type="gramEnd"/>
            <w:r w:rsidRPr="00254D61">
              <w:rPr>
                <w:rFonts w:asciiTheme="majorBidi" w:eastAsia="Times New Roman" w:hAnsiTheme="majorBidi" w:cstheme="majorBidi"/>
                <w:sz w:val="20"/>
                <w:szCs w:val="20"/>
              </w:rPr>
              <w:t xml:space="preserve"> sales to Accounts </w:t>
            </w:r>
            <w:proofErr w:type="spellStart"/>
            <w:r w:rsidRPr="00254D61">
              <w:rPr>
                <w:rFonts w:asciiTheme="majorBidi" w:eastAsia="Times New Roman" w:hAnsiTheme="majorBidi" w:cstheme="majorBidi"/>
                <w:sz w:val="20"/>
                <w:szCs w:val="20"/>
              </w:rPr>
              <w:t>Recv</w:t>
            </w:r>
            <w:proofErr w:type="spellEnd"/>
            <w:r w:rsidRPr="00254D61">
              <w:rPr>
                <w:rFonts w:asciiTheme="majorBidi" w:eastAsia="Times New Roman" w:hAnsiTheme="majorBidi" w:cstheme="majorBidi"/>
                <w:sz w:val="20"/>
                <w:szCs w:val="20"/>
              </w:rPr>
              <w:t>.</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1.238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156.65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23,270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1.299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172.35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23,512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1.323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178.34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23,674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1.384</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194.88</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23,834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23</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Total</w:t>
            </w:r>
            <w:proofErr w:type="gramEnd"/>
            <w:r w:rsidRPr="00254D61">
              <w:rPr>
                <w:rFonts w:asciiTheme="majorBidi" w:eastAsia="Times New Roman" w:hAnsiTheme="majorBidi" w:cstheme="majorBidi"/>
                <w:sz w:val="20"/>
                <w:szCs w:val="20"/>
              </w:rPr>
              <w:t xml:space="preserve"> Revenue</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-2.099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273.25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23,959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246.1</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24,202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-2.016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258.97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24,403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-2.148</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295.13</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24,562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24</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Total</w:t>
            </w:r>
            <w:proofErr w:type="gramEnd"/>
            <w:r w:rsidRPr="00254D61">
              <w:rPr>
                <w:rFonts w:asciiTheme="majorBidi" w:eastAsia="Times New Roman" w:hAnsiTheme="majorBidi" w:cstheme="majorBidi"/>
                <w:sz w:val="20"/>
                <w:szCs w:val="20"/>
              </w:rPr>
              <w:t xml:space="preserve"> Depreciation</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0.787</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22,840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0.208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0.43</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0.512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23,105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0.189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0.551</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23,214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0.211</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0.45</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0.503</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23,375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25</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ROCE</w:t>
            </w:r>
            <w:proofErr w:type="gramEnd"/>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-0.587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763.33</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22,736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-0.577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745.16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22,927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767.52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23,090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-0.57</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745.19</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23,215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26</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Capital</w:t>
            </w:r>
            <w:proofErr w:type="gramEnd"/>
            <w:r w:rsidRPr="00254D61">
              <w:rPr>
                <w:rFonts w:asciiTheme="majorBidi" w:eastAsia="Times New Roman" w:hAnsiTheme="majorBidi" w:cstheme="majorBidi"/>
                <w:sz w:val="20"/>
                <w:szCs w:val="20"/>
              </w:rPr>
              <w:t xml:space="preserve"> Expenditures to Total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4.33</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0.037</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23,603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0.162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23,830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1.71</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0.191</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24,000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0.04</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2.72</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0.099</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24,096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27</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Equity</w:t>
            </w:r>
            <w:proofErr w:type="gramEnd"/>
            <w:r w:rsidRPr="00254D61">
              <w:rPr>
                <w:rFonts w:asciiTheme="majorBidi" w:eastAsia="Times New Roman" w:hAnsiTheme="majorBidi" w:cstheme="majorBidi"/>
                <w:sz w:val="20"/>
                <w:szCs w:val="20"/>
              </w:rPr>
              <w:t xml:space="preserve"> to Fixed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-4.275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382.54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23,235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-4.136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363.67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23,446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-4.012</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344.86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23,596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-3.974</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340.62</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23,720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28</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Sales</w:t>
            </w:r>
            <w:proofErr w:type="gramEnd"/>
            <w:r w:rsidRPr="00254D61">
              <w:rPr>
                <w:rFonts w:asciiTheme="majorBidi" w:eastAsia="Times New Roman" w:hAnsiTheme="majorBidi" w:cstheme="majorBidi"/>
                <w:sz w:val="20"/>
                <w:szCs w:val="20"/>
              </w:rPr>
              <w:t xml:space="preserve"> to Total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-1.982</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252.55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24,034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-1.879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229.25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24,267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-1.928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243.48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24,459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-2.064</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280.02</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24,611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29</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Pretax</w:t>
            </w:r>
            <w:proofErr w:type="gramEnd"/>
            <w:r w:rsidRPr="00254D61">
              <w:rPr>
                <w:rFonts w:asciiTheme="majorBidi" w:eastAsia="Times New Roman" w:hAnsiTheme="majorBidi" w:cstheme="majorBidi"/>
                <w:sz w:val="20"/>
                <w:szCs w:val="20"/>
              </w:rPr>
              <w:t xml:space="preserve"> Income to Sales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543.87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22,568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-0.566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522.56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22,764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-0.568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532.45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22,900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-0.556</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513.81</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22,983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30</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Net</w:t>
            </w:r>
            <w:proofErr w:type="gramEnd"/>
            <w:r w:rsidRPr="00254D61">
              <w:rPr>
                <w:rFonts w:asciiTheme="majorBidi" w:eastAsia="Times New Roman" w:hAnsiTheme="majorBidi" w:cstheme="majorBidi"/>
                <w:sz w:val="20"/>
                <w:szCs w:val="20"/>
              </w:rPr>
              <w:t xml:space="preserve"> Profit Margin</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-0.654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799.14</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22,614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-0.629</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748.69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22,805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-0.626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754.52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22,958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-0.62</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737.85</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23,052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31</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Sales</w:t>
            </w:r>
            <w:proofErr w:type="gramEnd"/>
            <w:r w:rsidRPr="00254D61">
              <w:rPr>
                <w:rFonts w:asciiTheme="majorBidi" w:eastAsia="Times New Roman" w:hAnsiTheme="majorBidi" w:cstheme="majorBidi"/>
                <w:sz w:val="20"/>
                <w:szCs w:val="20"/>
              </w:rPr>
              <w:t xml:space="preserve"> to Working Capital</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0.073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0.149</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23,259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3.03</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23,527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0.47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0.492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23,604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0.014</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0.775</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23,673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32</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Production</w:t>
            </w:r>
            <w:proofErr w:type="gramEnd"/>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58.26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22,582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-0.717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51.02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22,785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-0.701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49.12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22,860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-0.805</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66.3</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22,990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33</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Total</w:t>
            </w:r>
            <w:proofErr w:type="gramEnd"/>
            <w:r w:rsidRPr="00254D61">
              <w:rPr>
                <w:rFonts w:asciiTheme="majorBidi" w:eastAsia="Times New Roman" w:hAnsiTheme="majorBidi" w:cstheme="majorBidi"/>
                <w:sz w:val="20"/>
                <w:szCs w:val="20"/>
              </w:rPr>
              <w:t xml:space="preserve">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-1.951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34.08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24,069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-1.897</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32.6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24,305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-1.581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22.92</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24,488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-1.791</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29.52</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24,656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34</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Working</w:t>
            </w:r>
            <w:proofErr w:type="gramEnd"/>
            <w:r w:rsidRPr="00254D61">
              <w:rPr>
                <w:rFonts w:asciiTheme="majorBidi" w:eastAsia="Times New Roman" w:hAnsiTheme="majorBidi" w:cstheme="majorBidi"/>
                <w:sz w:val="20"/>
                <w:szCs w:val="20"/>
              </w:rPr>
              <w:t xml:space="preserve"> Capital to Total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-0.684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71.47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22,270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83.03</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22,528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-0.646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66.09</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22,608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-0.625</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62.46</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22,704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35</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Operating</w:t>
            </w:r>
            <w:proofErr w:type="gramEnd"/>
            <w:r w:rsidRPr="00254D61">
              <w:rPr>
                <w:rFonts w:asciiTheme="majorBidi" w:eastAsia="Times New Roman" w:hAnsiTheme="majorBidi" w:cstheme="majorBidi"/>
                <w:sz w:val="20"/>
                <w:szCs w:val="20"/>
              </w:rPr>
              <w:t xml:space="preserve"> Income to Total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-0.603</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449.85</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22,391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-0.596</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443.6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22,607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-0.594</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446.97</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22,753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-0.594</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451.36</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22,892 </w:t>
            </w:r>
          </w:p>
        </w:tc>
      </w:tr>
      <w:tr w:rsidR="00E03B87" w:rsidRPr="00254D61" w:rsidTr="00B825E4">
        <w:trPr>
          <w:trHeight w:val="20"/>
          <w:jc w:val="center"/>
        </w:trPr>
        <w:tc>
          <w:tcPr>
            <w:tcW w:w="151"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36</w:t>
            </w:r>
          </w:p>
        </w:tc>
        <w:tc>
          <w:tcPr>
            <w:tcW w:w="577"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Capital</w:t>
            </w:r>
            <w:proofErr w:type="gramEnd"/>
            <w:r w:rsidRPr="00254D61">
              <w:rPr>
                <w:rFonts w:asciiTheme="majorBidi" w:eastAsia="Times New Roman" w:hAnsiTheme="majorBidi" w:cstheme="majorBidi"/>
                <w:sz w:val="20"/>
                <w:szCs w:val="20"/>
              </w:rPr>
              <w:t xml:space="preserve"> Expenditures to Total Assets</w:t>
            </w:r>
          </w:p>
        </w:tc>
        <w:tc>
          <w:tcPr>
            <w:tcW w:w="25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-0.058</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5.86</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0.015</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23,428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-0.061</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6.38</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23,716 </w:t>
            </w:r>
          </w:p>
        </w:tc>
        <w:tc>
          <w:tcPr>
            <w:tcW w:w="252" w:type="pct"/>
            <w:gridSpan w:val="2"/>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-0.055</w:t>
            </w:r>
          </w:p>
        </w:tc>
        <w:tc>
          <w:tcPr>
            <w:tcW w:w="23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5.23</w:t>
            </w:r>
          </w:p>
        </w:tc>
        <w:tc>
          <w:tcPr>
            <w:tcW w:w="242"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0.022</w:t>
            </w:r>
          </w:p>
        </w:tc>
        <w:tc>
          <w:tcPr>
            <w:tcW w:w="333"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23,873 </w:t>
            </w:r>
          </w:p>
        </w:tc>
        <w:tc>
          <w:tcPr>
            <w:tcW w:w="241"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-0.057</w:t>
            </w:r>
          </w:p>
        </w:tc>
        <w:tc>
          <w:tcPr>
            <w:tcW w:w="270"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5.77</w:t>
            </w:r>
          </w:p>
        </w:tc>
        <w:tc>
          <w:tcPr>
            <w:tcW w:w="246" w:type="pct"/>
            <w:shd w:val="clear" w:color="auto" w:fill="auto"/>
            <w:noWrap/>
            <w:vAlign w:val="bottom"/>
            <w:hideMark/>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0.016</w:t>
            </w:r>
          </w:p>
        </w:tc>
        <w:tc>
          <w:tcPr>
            <w:tcW w:w="344" w:type="pct"/>
            <w:shd w:val="clear" w:color="auto" w:fill="auto"/>
            <w:noWrap/>
            <w:vAlign w:val="bottom"/>
            <w:hideMark/>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24,096 </w:t>
            </w:r>
          </w:p>
        </w:tc>
      </w:tr>
    </w:tbl>
    <w:p w:rsidR="00E03B87" w:rsidRPr="00254D61" w:rsidRDefault="00E03B87" w:rsidP="00E03B87">
      <w:pPr>
        <w:pStyle w:val="a"/>
        <w:numPr>
          <w:ilvl w:val="0"/>
          <w:numId w:val="0"/>
        </w:numPr>
        <w:ind w:left="720"/>
        <w:rPr>
          <w:rFonts w:asciiTheme="majorBidi" w:hAnsiTheme="majorBidi" w:cstheme="majorBidi"/>
        </w:rPr>
      </w:pPr>
    </w:p>
    <w:p w:rsidR="00E03B87" w:rsidRPr="00254D61" w:rsidRDefault="00E03B87" w:rsidP="00420450">
      <w:pPr>
        <w:pStyle w:val="1"/>
      </w:pPr>
      <w:r w:rsidRPr="00254D61">
        <w:t xml:space="preserve">Appendix 2 - </w:t>
      </w:r>
      <w:r w:rsidRPr="00254D61">
        <w:rPr>
          <w:rFonts w:eastAsia="Times New Roman"/>
          <w:shd w:val="clear" w:color="auto" w:fill="FFFFFF"/>
        </w:rPr>
        <w:t>Univariate LOGIT estimation results for all accounting descriptors with Full Data</w:t>
      </w: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55"/>
        <w:gridCol w:w="41"/>
        <w:gridCol w:w="1591"/>
        <w:gridCol w:w="83"/>
        <w:gridCol w:w="875"/>
        <w:gridCol w:w="915"/>
        <w:gridCol w:w="715"/>
        <w:gridCol w:w="826"/>
        <w:gridCol w:w="12"/>
        <w:gridCol w:w="863"/>
        <w:gridCol w:w="795"/>
        <w:gridCol w:w="712"/>
        <w:gridCol w:w="712"/>
        <w:gridCol w:w="46"/>
        <w:gridCol w:w="823"/>
        <w:gridCol w:w="795"/>
        <w:gridCol w:w="758"/>
        <w:gridCol w:w="823"/>
        <w:gridCol w:w="80"/>
        <w:gridCol w:w="786"/>
        <w:gridCol w:w="903"/>
        <w:gridCol w:w="761"/>
        <w:gridCol w:w="979"/>
      </w:tblGrid>
      <w:tr w:rsidR="00E03B87" w:rsidRPr="00254D61" w:rsidTr="00B825E4">
        <w:trPr>
          <w:trHeight w:val="20"/>
          <w:jc w:val="center"/>
        </w:trPr>
        <w:tc>
          <w:tcPr>
            <w:tcW w:w="161" w:type="pct"/>
            <w:gridSpan w:val="2"/>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No.</w:t>
            </w:r>
          </w:p>
        </w:tc>
        <w:tc>
          <w:tcPr>
            <w:tcW w:w="518"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Accounting Descriptor</w:t>
            </w:r>
          </w:p>
        </w:tc>
        <w:tc>
          <w:tcPr>
            <w:tcW w:w="1116" w:type="pct"/>
            <w:gridSpan w:val="6"/>
            <w:shd w:val="clear" w:color="auto" w:fill="auto"/>
            <w:noWrap/>
            <w:vAlign w:val="center"/>
            <w:hideMark/>
          </w:tcPr>
          <w:p w:rsidR="00E03B87" w:rsidRPr="00254D61" w:rsidRDefault="00E03B87" w:rsidP="00E03B87">
            <w:pPr>
              <w:spacing w:after="0" w:line="240" w:lineRule="auto"/>
              <w:ind w:left="0"/>
              <w:jc w:val="center"/>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Q3/ 2015</w:t>
            </w:r>
          </w:p>
        </w:tc>
        <w:tc>
          <w:tcPr>
            <w:tcW w:w="1019" w:type="pct"/>
            <w:gridSpan w:val="5"/>
            <w:shd w:val="clear" w:color="auto" w:fill="auto"/>
            <w:noWrap/>
            <w:vAlign w:val="center"/>
            <w:hideMark/>
          </w:tcPr>
          <w:p w:rsidR="00E03B87" w:rsidRPr="00254D61" w:rsidRDefault="00E03B87" w:rsidP="00E03B87">
            <w:pPr>
              <w:spacing w:after="0" w:line="240" w:lineRule="auto"/>
              <w:ind w:left="0"/>
              <w:jc w:val="center"/>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Q4/ 2015</w:t>
            </w:r>
          </w:p>
        </w:tc>
        <w:tc>
          <w:tcPr>
            <w:tcW w:w="1068" w:type="pct"/>
            <w:gridSpan w:val="5"/>
            <w:shd w:val="clear" w:color="auto" w:fill="auto"/>
            <w:noWrap/>
            <w:vAlign w:val="center"/>
            <w:hideMark/>
          </w:tcPr>
          <w:p w:rsidR="00E03B87" w:rsidRPr="00254D61" w:rsidRDefault="00E03B87" w:rsidP="00E03B87">
            <w:pPr>
              <w:spacing w:after="0" w:line="240" w:lineRule="auto"/>
              <w:ind w:left="0"/>
              <w:jc w:val="center"/>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Q1/ 2016</w:t>
            </w:r>
          </w:p>
        </w:tc>
        <w:tc>
          <w:tcPr>
            <w:tcW w:w="1117" w:type="pct"/>
            <w:gridSpan w:val="4"/>
            <w:shd w:val="clear" w:color="auto" w:fill="auto"/>
            <w:noWrap/>
            <w:vAlign w:val="center"/>
            <w:hideMark/>
          </w:tcPr>
          <w:p w:rsidR="00E03B87" w:rsidRPr="00254D61" w:rsidRDefault="00E03B87" w:rsidP="00E03B87">
            <w:pPr>
              <w:spacing w:after="0" w:line="240" w:lineRule="auto"/>
              <w:ind w:left="0"/>
              <w:jc w:val="center"/>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Q2/ 2016</w:t>
            </w:r>
          </w:p>
        </w:tc>
      </w:tr>
      <w:tr w:rsidR="00E03B87" w:rsidRPr="00254D61" w:rsidTr="00B825E4">
        <w:trPr>
          <w:trHeight w:val="20"/>
          <w:jc w:val="center"/>
        </w:trPr>
        <w:tc>
          <w:tcPr>
            <w:tcW w:w="148" w:type="pct"/>
            <w:shd w:val="clear" w:color="auto" w:fill="auto"/>
            <w:vAlign w:val="center"/>
            <w:hideMark/>
          </w:tcPr>
          <w:p w:rsidR="00E03B87" w:rsidRPr="00254D61" w:rsidRDefault="00E03B87" w:rsidP="00E03B87">
            <w:pPr>
              <w:spacing w:after="0" w:line="240" w:lineRule="auto"/>
              <w:ind w:left="0"/>
              <w:jc w:val="center"/>
              <w:rPr>
                <w:rFonts w:asciiTheme="majorBidi" w:eastAsia="Times New Roman" w:hAnsiTheme="majorBidi" w:cstheme="majorBidi"/>
                <w:color w:val="000000"/>
                <w:sz w:val="24"/>
                <w:szCs w:val="24"/>
              </w:rPr>
            </w:pP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p>
        </w:tc>
        <w:tc>
          <w:tcPr>
            <w:tcW w:w="285"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proofErr w:type="spellStart"/>
            <w:r w:rsidRPr="00254D61">
              <w:rPr>
                <w:rFonts w:asciiTheme="majorBidi" w:eastAsia="Times New Roman" w:hAnsiTheme="majorBidi" w:cstheme="majorBidi"/>
                <w:sz w:val="24"/>
                <w:szCs w:val="24"/>
              </w:rPr>
              <w:t>Coeff</w:t>
            </w:r>
            <w:proofErr w:type="spellEnd"/>
          </w:p>
        </w:tc>
        <w:tc>
          <w:tcPr>
            <w:tcW w:w="298"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Chi</w:t>
            </w:r>
          </w:p>
        </w:tc>
        <w:tc>
          <w:tcPr>
            <w:tcW w:w="233"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p-</w:t>
            </w:r>
            <w:proofErr w:type="spellStart"/>
            <w:r w:rsidRPr="00254D61">
              <w:rPr>
                <w:rFonts w:asciiTheme="majorBidi" w:eastAsia="Times New Roman" w:hAnsiTheme="majorBidi" w:cstheme="majorBidi"/>
                <w:sz w:val="24"/>
                <w:szCs w:val="24"/>
              </w:rPr>
              <w:t>val</w:t>
            </w:r>
            <w:proofErr w:type="spellEnd"/>
          </w:p>
        </w:tc>
        <w:tc>
          <w:tcPr>
            <w:tcW w:w="269"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 xml:space="preserve">  Nobs  </w:t>
            </w:r>
          </w:p>
        </w:tc>
        <w:tc>
          <w:tcPr>
            <w:tcW w:w="285" w:type="pct"/>
            <w:gridSpan w:val="2"/>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proofErr w:type="spellStart"/>
            <w:r w:rsidRPr="00254D61">
              <w:rPr>
                <w:rFonts w:asciiTheme="majorBidi" w:eastAsia="Times New Roman" w:hAnsiTheme="majorBidi" w:cstheme="majorBidi"/>
                <w:sz w:val="24"/>
                <w:szCs w:val="24"/>
              </w:rPr>
              <w:t>Coeff</w:t>
            </w:r>
            <w:proofErr w:type="spellEnd"/>
          </w:p>
        </w:tc>
        <w:tc>
          <w:tcPr>
            <w:tcW w:w="259"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Chi</w:t>
            </w:r>
          </w:p>
        </w:tc>
        <w:tc>
          <w:tcPr>
            <w:tcW w:w="232"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p-</w:t>
            </w:r>
            <w:proofErr w:type="spellStart"/>
            <w:r w:rsidRPr="00254D61">
              <w:rPr>
                <w:rFonts w:asciiTheme="majorBidi" w:eastAsia="Times New Roman" w:hAnsiTheme="majorBidi" w:cstheme="majorBidi"/>
                <w:sz w:val="24"/>
                <w:szCs w:val="24"/>
              </w:rPr>
              <w:t>val</w:t>
            </w:r>
            <w:proofErr w:type="spellEnd"/>
          </w:p>
        </w:tc>
        <w:tc>
          <w:tcPr>
            <w:tcW w:w="232"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 xml:space="preserve">  Nobs  </w:t>
            </w:r>
          </w:p>
        </w:tc>
        <w:tc>
          <w:tcPr>
            <w:tcW w:w="283" w:type="pct"/>
            <w:gridSpan w:val="2"/>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proofErr w:type="spellStart"/>
            <w:r w:rsidRPr="00254D61">
              <w:rPr>
                <w:rFonts w:asciiTheme="majorBidi" w:eastAsia="Times New Roman" w:hAnsiTheme="majorBidi" w:cstheme="majorBidi"/>
                <w:sz w:val="24"/>
                <w:szCs w:val="24"/>
              </w:rPr>
              <w:t>Coeff</w:t>
            </w:r>
            <w:proofErr w:type="spellEnd"/>
          </w:p>
        </w:tc>
        <w:tc>
          <w:tcPr>
            <w:tcW w:w="259"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Chi</w:t>
            </w:r>
          </w:p>
        </w:tc>
        <w:tc>
          <w:tcPr>
            <w:tcW w:w="247"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p-</w:t>
            </w:r>
            <w:proofErr w:type="spellStart"/>
            <w:r w:rsidRPr="00254D61">
              <w:rPr>
                <w:rFonts w:asciiTheme="majorBidi" w:eastAsia="Times New Roman" w:hAnsiTheme="majorBidi" w:cstheme="majorBidi"/>
                <w:sz w:val="24"/>
                <w:szCs w:val="24"/>
              </w:rPr>
              <w:t>val</w:t>
            </w:r>
            <w:proofErr w:type="spellEnd"/>
          </w:p>
        </w:tc>
        <w:tc>
          <w:tcPr>
            <w:tcW w:w="268" w:type="pct"/>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 xml:space="preserve">  Nobs  </w:t>
            </w:r>
          </w:p>
        </w:tc>
        <w:tc>
          <w:tcPr>
            <w:tcW w:w="282" w:type="pct"/>
            <w:gridSpan w:val="2"/>
            <w:shd w:val="clear" w:color="auto" w:fill="auto"/>
            <w:vAlign w:val="center"/>
          </w:tcPr>
          <w:p w:rsidR="00E03B87" w:rsidRPr="00254D61" w:rsidRDefault="00E03B87" w:rsidP="00E03B87">
            <w:pPr>
              <w:spacing w:after="0" w:line="240" w:lineRule="auto"/>
              <w:ind w:left="0"/>
              <w:rPr>
                <w:rFonts w:asciiTheme="majorBidi" w:eastAsia="Times New Roman" w:hAnsiTheme="majorBidi" w:cstheme="majorBidi"/>
                <w:sz w:val="24"/>
                <w:szCs w:val="24"/>
              </w:rPr>
            </w:pPr>
            <w:proofErr w:type="spellStart"/>
            <w:r w:rsidRPr="00254D61">
              <w:rPr>
                <w:rFonts w:asciiTheme="majorBidi" w:eastAsia="Times New Roman" w:hAnsiTheme="majorBidi" w:cstheme="majorBidi"/>
                <w:sz w:val="24"/>
                <w:szCs w:val="24"/>
              </w:rPr>
              <w:t>Coeff</w:t>
            </w:r>
            <w:proofErr w:type="spellEnd"/>
          </w:p>
        </w:tc>
        <w:tc>
          <w:tcPr>
            <w:tcW w:w="294" w:type="pct"/>
            <w:shd w:val="clear" w:color="auto" w:fill="auto"/>
            <w:vAlign w:val="center"/>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Chi</w:t>
            </w:r>
          </w:p>
        </w:tc>
        <w:tc>
          <w:tcPr>
            <w:tcW w:w="248" w:type="pct"/>
            <w:shd w:val="clear" w:color="auto" w:fill="auto"/>
            <w:vAlign w:val="center"/>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p-</w:t>
            </w:r>
            <w:proofErr w:type="spellStart"/>
            <w:r w:rsidRPr="00254D61">
              <w:rPr>
                <w:rFonts w:asciiTheme="majorBidi" w:eastAsia="Times New Roman" w:hAnsiTheme="majorBidi" w:cstheme="majorBidi"/>
                <w:sz w:val="24"/>
                <w:szCs w:val="24"/>
              </w:rPr>
              <w:t>val</w:t>
            </w:r>
            <w:proofErr w:type="spellEnd"/>
          </w:p>
        </w:tc>
        <w:tc>
          <w:tcPr>
            <w:tcW w:w="318" w:type="pct"/>
            <w:shd w:val="clear" w:color="auto" w:fill="auto"/>
            <w:vAlign w:val="center"/>
          </w:tcPr>
          <w:p w:rsidR="00E03B87" w:rsidRPr="00254D61" w:rsidRDefault="00E03B87" w:rsidP="00E03B87">
            <w:pPr>
              <w:spacing w:after="0" w:line="240" w:lineRule="auto"/>
              <w:ind w:left="0"/>
              <w:rPr>
                <w:rFonts w:asciiTheme="majorBidi" w:eastAsia="Times New Roman" w:hAnsiTheme="majorBidi" w:cstheme="majorBidi"/>
                <w:sz w:val="24"/>
                <w:szCs w:val="24"/>
              </w:rPr>
            </w:pPr>
            <w:r w:rsidRPr="00254D61">
              <w:rPr>
                <w:rFonts w:asciiTheme="majorBidi" w:eastAsia="Times New Roman" w:hAnsiTheme="majorBidi" w:cstheme="majorBidi"/>
                <w:sz w:val="24"/>
                <w:szCs w:val="24"/>
              </w:rPr>
              <w:t xml:space="preserve">  Nobs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Current Ratio</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-0.011</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1.52</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0.217</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-0.012</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1.95</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0.162</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2.37</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0.124</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-0.014</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2.56</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0.11</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Quick Ratio</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-0.038</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12.14</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-0.043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15.46</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-0.044</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16.61</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-0.04</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14.12</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 xml:space="preserve">Days Sales Accounts </w:t>
            </w:r>
            <w:proofErr w:type="spellStart"/>
            <w:r w:rsidRPr="00254D61">
              <w:rPr>
                <w:rFonts w:asciiTheme="majorBidi" w:eastAsia="Times New Roman" w:hAnsiTheme="majorBidi" w:cstheme="majorBidi"/>
                <w:sz w:val="20"/>
                <w:szCs w:val="20"/>
              </w:rPr>
              <w:t>Recv</w:t>
            </w:r>
            <w:proofErr w:type="spellEnd"/>
            <w:r w:rsidRPr="00254D61">
              <w:rPr>
                <w:rFonts w:asciiTheme="majorBidi" w:eastAsia="Times New Roman" w:hAnsiTheme="majorBidi" w:cstheme="majorBidi"/>
                <w:sz w:val="20"/>
                <w:szCs w:val="20"/>
              </w:rPr>
              <w:t>.</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7.37</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0.007</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10.92</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0.001</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12.86</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10.37</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0.001</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4</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Depreciation to PP&amp;E</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-0.021</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1.97</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0.161</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-0.015</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1.09</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0.297</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0.8</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0.37</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-0.007</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0.24</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0.624</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5</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Return on Operating Expenditures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-11.806</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948.95</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-11.73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952.48</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-11.554</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936.42</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-11.433</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931.55</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6</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Long Term Debt to Equity</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0.047</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4.35</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0.037</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0.027</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1.5</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0.221</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0.037</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2.93</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0.087</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0.047</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4.62</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0.032</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7</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Equity to Fixed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-0.003</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1.6</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0.206</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1.35</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0.245</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2.11</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0.146</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-0.003</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1.25</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0.263</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8</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Sales to Total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-0.448</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32.54</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-0.397</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25.81</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-0.384</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24.27</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-0.397</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26.1</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9</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ROA</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-24.311</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964.04</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-24.498</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987.58</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-24.478</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991.73</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-24.655</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1010.28</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10</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ROCE</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-11.503</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917.44</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-11.416</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919.21</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-11.319</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914.83</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-11.256</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919.39</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11</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Gross Profit Margin</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-0.151</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11.09</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0.001</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-0.165</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13.55</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-0.189</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17.98</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-0.186</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17.6</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12</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EBITDA to Sales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-0.827</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152.75</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-0.886</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179.25</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-0.957</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210.88</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-0.947</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209.59</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13</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Pretax Income to Sales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-2.117</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520.88</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-2.09</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522.2</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-2.144</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558.16</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-2.133</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565.28</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14</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Net Profit Margin</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-3.185</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696.77</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-3.143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699.83</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-3.196</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737.44</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-3.135</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729.03</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15</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 xml:space="preserve">Sales to Total Accounts </w:t>
            </w:r>
            <w:proofErr w:type="spellStart"/>
            <w:r w:rsidRPr="00254D61">
              <w:rPr>
                <w:rFonts w:asciiTheme="majorBidi" w:eastAsia="Times New Roman" w:hAnsiTheme="majorBidi" w:cstheme="majorBidi"/>
                <w:sz w:val="20"/>
                <w:szCs w:val="20"/>
              </w:rPr>
              <w:t>Recv</w:t>
            </w:r>
            <w:proofErr w:type="spellEnd"/>
            <w:r w:rsidRPr="00254D61">
              <w:rPr>
                <w:rFonts w:asciiTheme="majorBidi" w:eastAsia="Times New Roman" w:hAnsiTheme="majorBidi" w:cstheme="majorBidi"/>
                <w:sz w:val="20"/>
                <w:szCs w:val="20"/>
              </w:rPr>
              <w:t>.</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-0.018</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2.82</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0.093</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-0.019</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0.084</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-0.018</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2.83</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0.092</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3.56</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0.059</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16</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Sales to Fixed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-0.026</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12.88</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-0.025</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11.32</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0.001</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10.06</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0.002</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7.51</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0.006</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17</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Working Capital to Total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-0.105</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3.11</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0.078</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-0.082</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1.92</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0.166</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-0.091</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2.36</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0.124</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-0.113</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3.69</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0.055</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18</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r w:rsidRPr="00254D61">
              <w:rPr>
                <w:rFonts w:asciiTheme="majorBidi" w:eastAsia="Times New Roman" w:hAnsiTheme="majorBidi" w:cstheme="majorBidi"/>
                <w:sz w:val="20"/>
                <w:szCs w:val="20"/>
              </w:rPr>
              <w:t>Operating Income to Total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-14.095</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596.21</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-14.255</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615.33</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-14.305</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618.45</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-14.463</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634.83</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19</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Working</w:t>
            </w:r>
            <w:proofErr w:type="gramEnd"/>
            <w:r w:rsidRPr="00254D61">
              <w:rPr>
                <w:rFonts w:asciiTheme="majorBidi" w:eastAsia="Times New Roman" w:hAnsiTheme="majorBidi" w:cstheme="majorBidi"/>
                <w:sz w:val="20"/>
                <w:szCs w:val="20"/>
              </w:rPr>
              <w:t xml:space="preserve"> Capital</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-0.658</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116.05</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-0.672</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122.62</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-0.593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97.11</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-0.582</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94.41</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20</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Current</w:t>
            </w:r>
            <w:proofErr w:type="gramEnd"/>
            <w:r w:rsidRPr="00254D61">
              <w:rPr>
                <w:rFonts w:asciiTheme="majorBidi" w:eastAsia="Times New Roman" w:hAnsiTheme="majorBidi" w:cstheme="majorBidi"/>
                <w:sz w:val="20"/>
                <w:szCs w:val="20"/>
              </w:rPr>
              <w:t xml:space="preserve"> Ratio</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-0.958</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106.62</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-0.95</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105.97</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-0.911</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98.45</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-0.901</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97.62</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21</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Quick</w:t>
            </w:r>
            <w:proofErr w:type="gramEnd"/>
            <w:r w:rsidRPr="00254D61">
              <w:rPr>
                <w:rFonts w:asciiTheme="majorBidi" w:eastAsia="Times New Roman" w:hAnsiTheme="majorBidi" w:cstheme="majorBidi"/>
                <w:sz w:val="20"/>
                <w:szCs w:val="20"/>
              </w:rPr>
              <w:t xml:space="preserve"> Ratio</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-1.058</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220.13</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-1.077</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229.67</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-1.038</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216.83</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-1.047</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223.4</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22</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Days</w:t>
            </w:r>
            <w:proofErr w:type="gramEnd"/>
            <w:r w:rsidRPr="00254D61">
              <w:rPr>
                <w:rFonts w:asciiTheme="majorBidi" w:eastAsia="Times New Roman" w:hAnsiTheme="majorBidi" w:cstheme="majorBidi"/>
                <w:sz w:val="20"/>
                <w:szCs w:val="20"/>
              </w:rPr>
              <w:t xml:space="preserve"> sales to Accounts </w:t>
            </w:r>
            <w:proofErr w:type="spellStart"/>
            <w:r w:rsidRPr="00254D61">
              <w:rPr>
                <w:rFonts w:asciiTheme="majorBidi" w:eastAsia="Times New Roman" w:hAnsiTheme="majorBidi" w:cstheme="majorBidi"/>
                <w:sz w:val="20"/>
                <w:szCs w:val="20"/>
              </w:rPr>
              <w:t>Recv</w:t>
            </w:r>
            <w:proofErr w:type="spellEnd"/>
            <w:r w:rsidRPr="00254D61">
              <w:rPr>
                <w:rFonts w:asciiTheme="majorBidi" w:eastAsia="Times New Roman" w:hAnsiTheme="majorBidi" w:cstheme="majorBidi"/>
                <w:sz w:val="20"/>
                <w:szCs w:val="20"/>
              </w:rPr>
              <w:t>.</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1.221</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176.65</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1.258</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187.44</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1.293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197.5</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1.34</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212.53</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23</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Total</w:t>
            </w:r>
            <w:proofErr w:type="gramEnd"/>
            <w:r w:rsidRPr="00254D61">
              <w:rPr>
                <w:rFonts w:asciiTheme="majorBidi" w:eastAsia="Times New Roman" w:hAnsiTheme="majorBidi" w:cstheme="majorBidi"/>
                <w:sz w:val="20"/>
                <w:szCs w:val="20"/>
              </w:rPr>
              <w:t xml:space="preserve"> Revenue</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-2.045</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327.12</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-1.952</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301.44</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-1.966</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308.12</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-2.109</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356.68</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24</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Total</w:t>
            </w:r>
            <w:proofErr w:type="gramEnd"/>
            <w:r w:rsidRPr="00254D61">
              <w:rPr>
                <w:rFonts w:asciiTheme="majorBidi" w:eastAsia="Times New Roman" w:hAnsiTheme="majorBidi" w:cstheme="majorBidi"/>
                <w:sz w:val="20"/>
                <w:szCs w:val="20"/>
              </w:rPr>
              <w:t xml:space="preserve"> Depreciation</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0.314</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1.19</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0.275</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0.407</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2.02</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0.156</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0.439</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2.36</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0.125</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0.598</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4.41</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0.036</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25</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ROCE</w:t>
            </w:r>
            <w:proofErr w:type="gramEnd"/>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-0.556</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864.55</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-0.55</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857.73</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-0.552</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872.6</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-0.546</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863.01</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26</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Capital</w:t>
            </w:r>
            <w:proofErr w:type="gramEnd"/>
            <w:r w:rsidRPr="00254D61">
              <w:rPr>
                <w:rFonts w:asciiTheme="majorBidi" w:eastAsia="Times New Roman" w:hAnsiTheme="majorBidi" w:cstheme="majorBidi"/>
                <w:sz w:val="20"/>
                <w:szCs w:val="20"/>
              </w:rPr>
              <w:t xml:space="preserve"> Expenditures to Total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0.044</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3.76</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0.053</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0.035</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2.36</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0.125</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0.027</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1.46</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0.226</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0.035</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2.5</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0.114</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27</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Equity</w:t>
            </w:r>
            <w:proofErr w:type="gramEnd"/>
            <w:r w:rsidRPr="00254D61">
              <w:rPr>
                <w:rFonts w:asciiTheme="majorBidi" w:eastAsia="Times New Roman" w:hAnsiTheme="majorBidi" w:cstheme="majorBidi"/>
                <w:sz w:val="20"/>
                <w:szCs w:val="20"/>
              </w:rPr>
              <w:t xml:space="preserve"> to Fixed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-4.076</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408.66</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-3.919</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384.77</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-3.861</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375.54</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-3.814</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370.45</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28</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Sales</w:t>
            </w:r>
            <w:proofErr w:type="gramEnd"/>
            <w:r w:rsidRPr="00254D61">
              <w:rPr>
                <w:rFonts w:asciiTheme="majorBidi" w:eastAsia="Times New Roman" w:hAnsiTheme="majorBidi" w:cstheme="majorBidi"/>
                <w:sz w:val="20"/>
                <w:szCs w:val="20"/>
              </w:rPr>
              <w:t xml:space="preserve"> to Total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-1.883</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276.69</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-1.791</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253.26</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-1.832</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266.86</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-1.967</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310.03</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29</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Pretax</w:t>
            </w:r>
            <w:proofErr w:type="gramEnd"/>
            <w:r w:rsidRPr="00254D61">
              <w:rPr>
                <w:rFonts w:asciiTheme="majorBidi" w:eastAsia="Times New Roman" w:hAnsiTheme="majorBidi" w:cstheme="majorBidi"/>
                <w:sz w:val="20"/>
                <w:szCs w:val="20"/>
              </w:rPr>
              <w:t xml:space="preserve"> Income to Sales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-0.553</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666.1</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-0.542</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647.31</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-0.543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655.38</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-0.535</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641.91</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30</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Net</w:t>
            </w:r>
            <w:proofErr w:type="gramEnd"/>
            <w:r w:rsidRPr="00254D61">
              <w:rPr>
                <w:rFonts w:asciiTheme="majorBidi" w:eastAsia="Times New Roman" w:hAnsiTheme="majorBidi" w:cstheme="majorBidi"/>
                <w:sz w:val="20"/>
                <w:szCs w:val="20"/>
              </w:rPr>
              <w:t xml:space="preserve"> Profit Margin</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-0.641</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1009.73</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-0.629</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986.69</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-0.626</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988.35</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-0.616</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962.86</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31</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Sales</w:t>
            </w:r>
            <w:proofErr w:type="gramEnd"/>
            <w:r w:rsidRPr="00254D61">
              <w:rPr>
                <w:rFonts w:asciiTheme="majorBidi" w:eastAsia="Times New Roman" w:hAnsiTheme="majorBidi" w:cstheme="majorBidi"/>
                <w:sz w:val="20"/>
                <w:szCs w:val="20"/>
              </w:rPr>
              <w:t xml:space="preserve"> to Working Capital</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0.101</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5.26</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0.022</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0.118</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7.29</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0.007</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0.074</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2.94</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0.086</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0.055</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1.61</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0.205</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32</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Production</w:t>
            </w:r>
            <w:proofErr w:type="gramEnd"/>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-0.755</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69.91</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-0.684</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58.23</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-0.666</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55.86</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-0.734</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69.33</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33</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Total</w:t>
            </w:r>
            <w:proofErr w:type="gramEnd"/>
            <w:r w:rsidRPr="00254D61">
              <w:rPr>
                <w:rFonts w:asciiTheme="majorBidi" w:eastAsia="Times New Roman" w:hAnsiTheme="majorBidi" w:cstheme="majorBidi"/>
                <w:sz w:val="20"/>
                <w:szCs w:val="20"/>
              </w:rPr>
              <w:t xml:space="preserve">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-1.914</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40.08</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-1.876</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39.13</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-1.589</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28.37</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-1.74</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34.16</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34</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Working</w:t>
            </w:r>
            <w:proofErr w:type="gramEnd"/>
            <w:r w:rsidRPr="00254D61">
              <w:rPr>
                <w:rFonts w:asciiTheme="majorBidi" w:eastAsia="Times New Roman" w:hAnsiTheme="majorBidi" w:cstheme="majorBidi"/>
                <w:sz w:val="20"/>
                <w:szCs w:val="20"/>
              </w:rPr>
              <w:t xml:space="preserve"> Capital to Total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-0.633</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96.02</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-0.652</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103.59</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-0.583</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84.12</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-0.569</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81.08</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35</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Operating</w:t>
            </w:r>
            <w:proofErr w:type="gramEnd"/>
            <w:r w:rsidRPr="00254D61">
              <w:rPr>
                <w:rFonts w:asciiTheme="majorBidi" w:eastAsia="Times New Roman" w:hAnsiTheme="majorBidi" w:cstheme="majorBidi"/>
                <w:sz w:val="20"/>
                <w:szCs w:val="20"/>
              </w:rPr>
              <w:t xml:space="preserve"> Income to Total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-0.555</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523.83</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-0.544</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508.34</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-0.544</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516.52</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-0.55</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532.37</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r w:rsidR="00E03B87" w:rsidRPr="00254D61" w:rsidTr="00B825E4">
        <w:trPr>
          <w:trHeight w:val="20"/>
          <w:jc w:val="center"/>
        </w:trPr>
        <w:tc>
          <w:tcPr>
            <w:tcW w:w="148" w:type="pct"/>
            <w:shd w:val="clear" w:color="auto" w:fill="auto"/>
            <w:noWrap/>
            <w:vAlign w:val="center"/>
            <w:hideMark/>
          </w:tcPr>
          <w:p w:rsidR="00E03B87" w:rsidRPr="00254D61" w:rsidRDefault="00E03B87" w:rsidP="00E03B87">
            <w:pPr>
              <w:spacing w:after="0" w:line="240" w:lineRule="auto"/>
              <w:ind w:left="0"/>
              <w:rPr>
                <w:rFonts w:asciiTheme="majorBidi" w:eastAsia="Times New Roman" w:hAnsiTheme="majorBidi" w:cstheme="majorBidi"/>
                <w:color w:val="000000"/>
                <w:sz w:val="24"/>
                <w:szCs w:val="24"/>
              </w:rPr>
            </w:pPr>
            <w:r w:rsidRPr="00254D61">
              <w:rPr>
                <w:rFonts w:asciiTheme="majorBidi" w:eastAsia="Times New Roman" w:hAnsiTheme="majorBidi" w:cstheme="majorBidi"/>
                <w:color w:val="000000"/>
                <w:sz w:val="24"/>
                <w:szCs w:val="24"/>
              </w:rPr>
              <w:t>36</w:t>
            </w:r>
          </w:p>
        </w:tc>
        <w:tc>
          <w:tcPr>
            <w:tcW w:w="558" w:type="pct"/>
            <w:gridSpan w:val="3"/>
            <w:shd w:val="clear" w:color="auto" w:fill="auto"/>
            <w:vAlign w:val="center"/>
            <w:hideMark/>
          </w:tcPr>
          <w:p w:rsidR="00E03B87" w:rsidRPr="00254D61" w:rsidRDefault="00E03B87" w:rsidP="00E03B87">
            <w:pPr>
              <w:spacing w:after="0" w:line="240" w:lineRule="auto"/>
              <w:ind w:left="0"/>
              <w:rPr>
                <w:rFonts w:asciiTheme="majorBidi" w:eastAsia="Times New Roman" w:hAnsiTheme="majorBidi" w:cstheme="majorBidi"/>
                <w:sz w:val="20"/>
                <w:szCs w:val="20"/>
              </w:rPr>
            </w:pPr>
            <w:proofErr w:type="gramStart"/>
            <w:r w:rsidRPr="00254D61">
              <w:rPr>
                <w:rFonts w:asciiTheme="majorBidi" w:eastAsia="Times New Roman" w:hAnsiTheme="majorBidi" w:cstheme="majorBidi"/>
                <w:sz w:val="20"/>
                <w:szCs w:val="20"/>
              </w:rPr>
              <w:t>Δ  Capital</w:t>
            </w:r>
            <w:proofErr w:type="gramEnd"/>
            <w:r w:rsidRPr="00254D61">
              <w:rPr>
                <w:rFonts w:asciiTheme="majorBidi" w:eastAsia="Times New Roman" w:hAnsiTheme="majorBidi" w:cstheme="majorBidi"/>
                <w:sz w:val="20"/>
                <w:szCs w:val="20"/>
              </w:rPr>
              <w:t xml:space="preserve"> Expenditures to Total Assets</w:t>
            </w:r>
          </w:p>
        </w:tc>
        <w:tc>
          <w:tcPr>
            <w:tcW w:w="285"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-0.059</w:t>
            </w:r>
          </w:p>
        </w:tc>
        <w:tc>
          <w:tcPr>
            <w:tcW w:w="29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6.75</w:t>
            </w:r>
          </w:p>
        </w:tc>
        <w:tc>
          <w:tcPr>
            <w:tcW w:w="233"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0.009</w:t>
            </w:r>
          </w:p>
        </w:tc>
        <w:tc>
          <w:tcPr>
            <w:tcW w:w="269"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25,895 </w:t>
            </w:r>
          </w:p>
        </w:tc>
        <w:tc>
          <w:tcPr>
            <w:tcW w:w="285"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-0.058</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6.75</w:t>
            </w:r>
          </w:p>
        </w:tc>
        <w:tc>
          <w:tcPr>
            <w:tcW w:w="232"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0.009</w:t>
            </w:r>
          </w:p>
        </w:tc>
        <w:tc>
          <w:tcPr>
            <w:tcW w:w="232"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26,160 </w:t>
            </w:r>
          </w:p>
        </w:tc>
        <w:tc>
          <w:tcPr>
            <w:tcW w:w="283"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-0.052</w:t>
            </w:r>
          </w:p>
        </w:tc>
        <w:tc>
          <w:tcPr>
            <w:tcW w:w="259"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5.35</w:t>
            </w:r>
          </w:p>
        </w:tc>
        <w:tc>
          <w:tcPr>
            <w:tcW w:w="247"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0.021</w:t>
            </w:r>
          </w:p>
        </w:tc>
        <w:tc>
          <w:tcPr>
            <w:tcW w:w="26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26,329 </w:t>
            </w:r>
          </w:p>
        </w:tc>
        <w:tc>
          <w:tcPr>
            <w:tcW w:w="282" w:type="pct"/>
            <w:gridSpan w:val="2"/>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-0.054</w:t>
            </w:r>
          </w:p>
        </w:tc>
        <w:tc>
          <w:tcPr>
            <w:tcW w:w="294"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5.92</w:t>
            </w:r>
          </w:p>
        </w:tc>
        <w:tc>
          <w:tcPr>
            <w:tcW w:w="248" w:type="pct"/>
            <w:shd w:val="clear" w:color="auto" w:fill="auto"/>
            <w:noWrap/>
            <w:vAlign w:val="bottom"/>
          </w:tcPr>
          <w:p w:rsidR="00E03B87" w:rsidRPr="00254D61" w:rsidRDefault="00E03B87" w:rsidP="00E03B87">
            <w:pPr>
              <w:spacing w:after="0" w:line="240" w:lineRule="auto"/>
              <w:ind w:left="0"/>
              <w:jc w:val="right"/>
              <w:rPr>
                <w:rFonts w:asciiTheme="majorBidi" w:hAnsiTheme="majorBidi" w:cstheme="majorBidi"/>
                <w:color w:val="000000"/>
                <w:sz w:val="20"/>
                <w:szCs w:val="20"/>
              </w:rPr>
            </w:pPr>
            <w:r w:rsidRPr="00254D61">
              <w:rPr>
                <w:rFonts w:asciiTheme="majorBidi" w:hAnsiTheme="majorBidi" w:cstheme="majorBidi"/>
                <w:color w:val="000000"/>
                <w:sz w:val="20"/>
                <w:szCs w:val="20"/>
              </w:rPr>
              <w:t>0.015</w:t>
            </w:r>
          </w:p>
        </w:tc>
        <w:tc>
          <w:tcPr>
            <w:tcW w:w="318" w:type="pct"/>
            <w:shd w:val="clear" w:color="auto" w:fill="auto"/>
            <w:noWrap/>
            <w:vAlign w:val="bottom"/>
          </w:tcPr>
          <w:p w:rsidR="00E03B87" w:rsidRPr="00254D61" w:rsidRDefault="00E03B87" w:rsidP="00E03B87">
            <w:pPr>
              <w:spacing w:after="0" w:line="240" w:lineRule="auto"/>
              <w:ind w:left="0"/>
              <w:rPr>
                <w:rFonts w:asciiTheme="majorBidi" w:hAnsiTheme="majorBidi" w:cstheme="majorBidi"/>
                <w:color w:val="000000"/>
                <w:sz w:val="20"/>
                <w:szCs w:val="20"/>
              </w:rPr>
            </w:pPr>
            <w:r w:rsidRPr="00254D61">
              <w:rPr>
                <w:rFonts w:asciiTheme="majorBidi" w:hAnsiTheme="majorBidi" w:cstheme="majorBidi"/>
                <w:color w:val="000000"/>
                <w:sz w:val="20"/>
                <w:szCs w:val="20"/>
              </w:rPr>
              <w:t xml:space="preserve">        26,537 </w:t>
            </w:r>
          </w:p>
        </w:tc>
      </w:tr>
    </w:tbl>
    <w:p w:rsidR="00E03B87" w:rsidRPr="00254D61" w:rsidRDefault="00E03B87" w:rsidP="00E03B87">
      <w:pPr>
        <w:rPr>
          <w:rFonts w:asciiTheme="majorBidi" w:hAnsiTheme="majorBidi" w:cstheme="majorBidi"/>
          <w:lang w:bidi="ar-SA"/>
        </w:rPr>
      </w:pPr>
    </w:p>
    <w:p w:rsidR="00E03B87" w:rsidRPr="00254D61" w:rsidRDefault="00E03B87" w:rsidP="00E03B87">
      <w:pPr>
        <w:pStyle w:val="a"/>
        <w:numPr>
          <w:ilvl w:val="0"/>
          <w:numId w:val="0"/>
        </w:numPr>
        <w:ind w:left="720"/>
        <w:rPr>
          <w:rFonts w:asciiTheme="majorBidi" w:hAnsiTheme="majorBidi" w:cstheme="majorBidi"/>
        </w:rPr>
      </w:pPr>
    </w:p>
    <w:sectPr w:rsidR="00E03B87" w:rsidRPr="00254D61" w:rsidSect="00530BF5">
      <w:pgSz w:w="16838" w:h="11906" w:orient="landscape"/>
      <w:pgMar w:top="1440" w:right="1080" w:bottom="1440" w:left="108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4B2A"/>
    <w:multiLevelType w:val="hybridMultilevel"/>
    <w:tmpl w:val="EEBAE7BC"/>
    <w:lvl w:ilvl="0" w:tplc="25EE67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E748B"/>
    <w:multiLevelType w:val="hybridMultilevel"/>
    <w:tmpl w:val="A302F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8E0C4A"/>
    <w:multiLevelType w:val="hybridMultilevel"/>
    <w:tmpl w:val="44E8C9E4"/>
    <w:lvl w:ilvl="0" w:tplc="D3A02DA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0574A"/>
    <w:multiLevelType w:val="hybridMultilevel"/>
    <w:tmpl w:val="CF14AF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D1B28"/>
    <w:multiLevelType w:val="hybridMultilevel"/>
    <w:tmpl w:val="77B8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C56BD"/>
    <w:multiLevelType w:val="hybridMultilevel"/>
    <w:tmpl w:val="97867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CF5250"/>
    <w:multiLevelType w:val="multilevel"/>
    <w:tmpl w:val="63D43BC0"/>
    <w:lvl w:ilvl="0">
      <w:start w:val="1"/>
      <w:numFmt w:val="decimal"/>
      <w:pStyle w:val="a"/>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A01893"/>
    <w:multiLevelType w:val="multilevel"/>
    <w:tmpl w:val="E436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50AC4"/>
    <w:multiLevelType w:val="hybridMultilevel"/>
    <w:tmpl w:val="548C08E0"/>
    <w:lvl w:ilvl="0" w:tplc="1BC0DD40">
      <w:start w:val="1"/>
      <w:numFmt w:val="upperRoman"/>
      <w:lvlText w:val="%1."/>
      <w:lvlJc w:val="left"/>
      <w:pPr>
        <w:ind w:left="347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C5726"/>
    <w:multiLevelType w:val="hybridMultilevel"/>
    <w:tmpl w:val="5BA89DB8"/>
    <w:lvl w:ilvl="0" w:tplc="23666C0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269B7"/>
    <w:multiLevelType w:val="hybridMultilevel"/>
    <w:tmpl w:val="D7766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95E83"/>
    <w:multiLevelType w:val="hybridMultilevel"/>
    <w:tmpl w:val="D7766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97959"/>
    <w:multiLevelType w:val="hybridMultilevel"/>
    <w:tmpl w:val="9C028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849F4"/>
    <w:multiLevelType w:val="hybridMultilevel"/>
    <w:tmpl w:val="6A06D384"/>
    <w:lvl w:ilvl="0" w:tplc="7222E19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91DBB"/>
    <w:multiLevelType w:val="hybridMultilevel"/>
    <w:tmpl w:val="8B36F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A071FB"/>
    <w:multiLevelType w:val="multilevel"/>
    <w:tmpl w:val="9A761D0A"/>
    <w:lvl w:ilvl="0">
      <w:start w:val="2"/>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F3567C7"/>
    <w:multiLevelType w:val="hybridMultilevel"/>
    <w:tmpl w:val="276CC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2"/>
  </w:num>
  <w:num w:numId="4">
    <w:abstractNumId w:val="12"/>
  </w:num>
  <w:num w:numId="5">
    <w:abstractNumId w:val="4"/>
  </w:num>
  <w:num w:numId="6">
    <w:abstractNumId w:val="11"/>
  </w:num>
  <w:num w:numId="7">
    <w:abstractNumId w:val="1"/>
  </w:num>
  <w:num w:numId="8">
    <w:abstractNumId w:val="5"/>
  </w:num>
  <w:num w:numId="9">
    <w:abstractNumId w:val="14"/>
  </w:num>
  <w:num w:numId="10">
    <w:abstractNumId w:val="16"/>
  </w:num>
  <w:num w:numId="11">
    <w:abstractNumId w:val="9"/>
  </w:num>
  <w:num w:numId="12">
    <w:abstractNumId w:val="8"/>
  </w:num>
  <w:num w:numId="13">
    <w:abstractNumId w:val="0"/>
  </w:num>
  <w:num w:numId="14">
    <w:abstractNumId w:val="7"/>
  </w:num>
  <w:num w:numId="15">
    <w:abstractNumId w:val="6"/>
  </w:num>
  <w:num w:numId="16">
    <w:abstractNumId w:val="15"/>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31"/>
    <w:rsid w:val="00017C24"/>
    <w:rsid w:val="0002097F"/>
    <w:rsid w:val="0003623C"/>
    <w:rsid w:val="000442DA"/>
    <w:rsid w:val="0005491D"/>
    <w:rsid w:val="0006641E"/>
    <w:rsid w:val="00074F92"/>
    <w:rsid w:val="000810FC"/>
    <w:rsid w:val="00083793"/>
    <w:rsid w:val="000932D0"/>
    <w:rsid w:val="000A3767"/>
    <w:rsid w:val="000C7364"/>
    <w:rsid w:val="000F2F4F"/>
    <w:rsid w:val="00103719"/>
    <w:rsid w:val="00122544"/>
    <w:rsid w:val="0012644B"/>
    <w:rsid w:val="0017554E"/>
    <w:rsid w:val="00185AE4"/>
    <w:rsid w:val="00191082"/>
    <w:rsid w:val="00196359"/>
    <w:rsid w:val="001A6A32"/>
    <w:rsid w:val="001B2E24"/>
    <w:rsid w:val="001E4EB8"/>
    <w:rsid w:val="001F142F"/>
    <w:rsid w:val="00233239"/>
    <w:rsid w:val="002365BA"/>
    <w:rsid w:val="00236799"/>
    <w:rsid w:val="002449AC"/>
    <w:rsid w:val="0025195F"/>
    <w:rsid w:val="00252174"/>
    <w:rsid w:val="00254D61"/>
    <w:rsid w:val="002566CE"/>
    <w:rsid w:val="00267542"/>
    <w:rsid w:val="0029288E"/>
    <w:rsid w:val="002B0EA5"/>
    <w:rsid w:val="002B3019"/>
    <w:rsid w:val="002B37FA"/>
    <w:rsid w:val="002D273E"/>
    <w:rsid w:val="002D3F9F"/>
    <w:rsid w:val="002D7ABE"/>
    <w:rsid w:val="002E1AF8"/>
    <w:rsid w:val="002E39A7"/>
    <w:rsid w:val="002F0A75"/>
    <w:rsid w:val="002F266E"/>
    <w:rsid w:val="002F3949"/>
    <w:rsid w:val="00304D18"/>
    <w:rsid w:val="00316AB1"/>
    <w:rsid w:val="00320703"/>
    <w:rsid w:val="00321E20"/>
    <w:rsid w:val="00327901"/>
    <w:rsid w:val="003319F8"/>
    <w:rsid w:val="00364D11"/>
    <w:rsid w:val="00397B99"/>
    <w:rsid w:val="003A0751"/>
    <w:rsid w:val="003C44A5"/>
    <w:rsid w:val="003D385C"/>
    <w:rsid w:val="003D6664"/>
    <w:rsid w:val="003E6AA6"/>
    <w:rsid w:val="003F4029"/>
    <w:rsid w:val="0040007B"/>
    <w:rsid w:val="00420450"/>
    <w:rsid w:val="00422DB9"/>
    <w:rsid w:val="00423AFA"/>
    <w:rsid w:val="0043048D"/>
    <w:rsid w:val="00435F8C"/>
    <w:rsid w:val="00450735"/>
    <w:rsid w:val="0045218F"/>
    <w:rsid w:val="00453E38"/>
    <w:rsid w:val="0046040E"/>
    <w:rsid w:val="00464531"/>
    <w:rsid w:val="004777C8"/>
    <w:rsid w:val="00492BA3"/>
    <w:rsid w:val="0049309C"/>
    <w:rsid w:val="00497931"/>
    <w:rsid w:val="004A43F6"/>
    <w:rsid w:val="004B47B5"/>
    <w:rsid w:val="004C0C07"/>
    <w:rsid w:val="004E40B6"/>
    <w:rsid w:val="004F1631"/>
    <w:rsid w:val="00530BF5"/>
    <w:rsid w:val="005452B4"/>
    <w:rsid w:val="005530C2"/>
    <w:rsid w:val="0056128D"/>
    <w:rsid w:val="00564D50"/>
    <w:rsid w:val="00567171"/>
    <w:rsid w:val="00570099"/>
    <w:rsid w:val="00577D42"/>
    <w:rsid w:val="005A1C6F"/>
    <w:rsid w:val="005B12C8"/>
    <w:rsid w:val="005B39A9"/>
    <w:rsid w:val="005B5F29"/>
    <w:rsid w:val="005C165F"/>
    <w:rsid w:val="005C3952"/>
    <w:rsid w:val="005C4EA0"/>
    <w:rsid w:val="005C5710"/>
    <w:rsid w:val="005C5FC0"/>
    <w:rsid w:val="005C6BB4"/>
    <w:rsid w:val="005D01E0"/>
    <w:rsid w:val="005E4875"/>
    <w:rsid w:val="005F56C0"/>
    <w:rsid w:val="005F5D7C"/>
    <w:rsid w:val="006072F2"/>
    <w:rsid w:val="00623F46"/>
    <w:rsid w:val="00626D56"/>
    <w:rsid w:val="00637394"/>
    <w:rsid w:val="006466CD"/>
    <w:rsid w:val="00670166"/>
    <w:rsid w:val="006773FB"/>
    <w:rsid w:val="00681640"/>
    <w:rsid w:val="0068465E"/>
    <w:rsid w:val="006A5B26"/>
    <w:rsid w:val="006A5C84"/>
    <w:rsid w:val="006A73DA"/>
    <w:rsid w:val="006B3727"/>
    <w:rsid w:val="006B7D55"/>
    <w:rsid w:val="006B7E82"/>
    <w:rsid w:val="006C6FC8"/>
    <w:rsid w:val="006C72ED"/>
    <w:rsid w:val="006C755C"/>
    <w:rsid w:val="006D330E"/>
    <w:rsid w:val="00707C3A"/>
    <w:rsid w:val="00717ED4"/>
    <w:rsid w:val="0072437C"/>
    <w:rsid w:val="0073404D"/>
    <w:rsid w:val="007410E5"/>
    <w:rsid w:val="00742755"/>
    <w:rsid w:val="0075244C"/>
    <w:rsid w:val="00754195"/>
    <w:rsid w:val="007824DC"/>
    <w:rsid w:val="00784FDD"/>
    <w:rsid w:val="007A002A"/>
    <w:rsid w:val="007A0C89"/>
    <w:rsid w:val="007B7E26"/>
    <w:rsid w:val="007C1A07"/>
    <w:rsid w:val="007C3769"/>
    <w:rsid w:val="007D0AF0"/>
    <w:rsid w:val="007F3332"/>
    <w:rsid w:val="0081057E"/>
    <w:rsid w:val="00815ED5"/>
    <w:rsid w:val="008170EA"/>
    <w:rsid w:val="008268FF"/>
    <w:rsid w:val="0082737F"/>
    <w:rsid w:val="00831992"/>
    <w:rsid w:val="00853DCB"/>
    <w:rsid w:val="008551A3"/>
    <w:rsid w:val="00856D0D"/>
    <w:rsid w:val="008572BC"/>
    <w:rsid w:val="00860ED7"/>
    <w:rsid w:val="008B4FB6"/>
    <w:rsid w:val="008D5B18"/>
    <w:rsid w:val="008E1728"/>
    <w:rsid w:val="008F4EB2"/>
    <w:rsid w:val="00911104"/>
    <w:rsid w:val="00920730"/>
    <w:rsid w:val="0092318B"/>
    <w:rsid w:val="00952730"/>
    <w:rsid w:val="00953E77"/>
    <w:rsid w:val="00962DB6"/>
    <w:rsid w:val="009734E6"/>
    <w:rsid w:val="009744F1"/>
    <w:rsid w:val="00974D0F"/>
    <w:rsid w:val="00986938"/>
    <w:rsid w:val="009C0AC0"/>
    <w:rsid w:val="009C5D3B"/>
    <w:rsid w:val="009D4003"/>
    <w:rsid w:val="009E4B58"/>
    <w:rsid w:val="009F7089"/>
    <w:rsid w:val="009F7468"/>
    <w:rsid w:val="00A03C16"/>
    <w:rsid w:val="00A13FEA"/>
    <w:rsid w:val="00A1658A"/>
    <w:rsid w:val="00A167A0"/>
    <w:rsid w:val="00A17DFC"/>
    <w:rsid w:val="00A44A86"/>
    <w:rsid w:val="00A567FB"/>
    <w:rsid w:val="00A77759"/>
    <w:rsid w:val="00A85F16"/>
    <w:rsid w:val="00A96A7E"/>
    <w:rsid w:val="00A96F45"/>
    <w:rsid w:val="00AA67C3"/>
    <w:rsid w:val="00AB3F90"/>
    <w:rsid w:val="00AC6675"/>
    <w:rsid w:val="00AD31E0"/>
    <w:rsid w:val="00AD70BC"/>
    <w:rsid w:val="00B01CA7"/>
    <w:rsid w:val="00B11A25"/>
    <w:rsid w:val="00B1391C"/>
    <w:rsid w:val="00B14043"/>
    <w:rsid w:val="00B17924"/>
    <w:rsid w:val="00B251BC"/>
    <w:rsid w:val="00B30DBB"/>
    <w:rsid w:val="00B35C74"/>
    <w:rsid w:val="00B54E15"/>
    <w:rsid w:val="00B73DD9"/>
    <w:rsid w:val="00B825E4"/>
    <w:rsid w:val="00B8616F"/>
    <w:rsid w:val="00B96E8C"/>
    <w:rsid w:val="00BA566B"/>
    <w:rsid w:val="00BA7B0F"/>
    <w:rsid w:val="00BB06F9"/>
    <w:rsid w:val="00BC497F"/>
    <w:rsid w:val="00BC6D6B"/>
    <w:rsid w:val="00BD094B"/>
    <w:rsid w:val="00BD5156"/>
    <w:rsid w:val="00BD6656"/>
    <w:rsid w:val="00BE3601"/>
    <w:rsid w:val="00BE5689"/>
    <w:rsid w:val="00C01F63"/>
    <w:rsid w:val="00C04790"/>
    <w:rsid w:val="00C12154"/>
    <w:rsid w:val="00C141BA"/>
    <w:rsid w:val="00C2191B"/>
    <w:rsid w:val="00C649CF"/>
    <w:rsid w:val="00CA0544"/>
    <w:rsid w:val="00CB161B"/>
    <w:rsid w:val="00CC3CD5"/>
    <w:rsid w:val="00CE7C39"/>
    <w:rsid w:val="00D12AF8"/>
    <w:rsid w:val="00D1404D"/>
    <w:rsid w:val="00D540AB"/>
    <w:rsid w:val="00D62DF3"/>
    <w:rsid w:val="00D6345F"/>
    <w:rsid w:val="00D6725C"/>
    <w:rsid w:val="00D77B7B"/>
    <w:rsid w:val="00D8608E"/>
    <w:rsid w:val="00D90121"/>
    <w:rsid w:val="00D961C7"/>
    <w:rsid w:val="00DA3504"/>
    <w:rsid w:val="00DA4A2A"/>
    <w:rsid w:val="00DA531B"/>
    <w:rsid w:val="00DC10FD"/>
    <w:rsid w:val="00DD49DF"/>
    <w:rsid w:val="00DE3637"/>
    <w:rsid w:val="00DE5C27"/>
    <w:rsid w:val="00E03618"/>
    <w:rsid w:val="00E03B87"/>
    <w:rsid w:val="00E065CC"/>
    <w:rsid w:val="00E121EC"/>
    <w:rsid w:val="00E1783B"/>
    <w:rsid w:val="00E26445"/>
    <w:rsid w:val="00E528A3"/>
    <w:rsid w:val="00E53F5B"/>
    <w:rsid w:val="00E61FEA"/>
    <w:rsid w:val="00E647B4"/>
    <w:rsid w:val="00E71A4B"/>
    <w:rsid w:val="00E82910"/>
    <w:rsid w:val="00E84E5D"/>
    <w:rsid w:val="00E90ED8"/>
    <w:rsid w:val="00EA1535"/>
    <w:rsid w:val="00EA189E"/>
    <w:rsid w:val="00EA4844"/>
    <w:rsid w:val="00EB7C96"/>
    <w:rsid w:val="00EC1D6B"/>
    <w:rsid w:val="00EE3E07"/>
    <w:rsid w:val="00EE5CDA"/>
    <w:rsid w:val="00EE70A2"/>
    <w:rsid w:val="00EE755F"/>
    <w:rsid w:val="00EF09C0"/>
    <w:rsid w:val="00F02C04"/>
    <w:rsid w:val="00F0440D"/>
    <w:rsid w:val="00F046A0"/>
    <w:rsid w:val="00F052A3"/>
    <w:rsid w:val="00F22E68"/>
    <w:rsid w:val="00F238A9"/>
    <w:rsid w:val="00F26090"/>
    <w:rsid w:val="00F34CAE"/>
    <w:rsid w:val="00F44C74"/>
    <w:rsid w:val="00F50FAD"/>
    <w:rsid w:val="00F54652"/>
    <w:rsid w:val="00F6041F"/>
    <w:rsid w:val="00F83601"/>
    <w:rsid w:val="00F83D83"/>
    <w:rsid w:val="00F841D1"/>
    <w:rsid w:val="00F86C63"/>
    <w:rsid w:val="00F87A4D"/>
    <w:rsid w:val="00FA1EB7"/>
    <w:rsid w:val="00FB69F8"/>
    <w:rsid w:val="00FB7E5E"/>
    <w:rsid w:val="00FD34CF"/>
    <w:rsid w:val="00FD50A5"/>
    <w:rsid w:val="00FF0E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7A45"/>
  <w15:chartTrackingRefBased/>
  <w15:docId w15:val="{64762BF2-EB9A-4ECC-B7DC-C3F0AFBE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20" w:line="360" w:lineRule="auto"/>
        <w:ind w:left="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B4FB6"/>
  </w:style>
  <w:style w:type="paragraph" w:styleId="1">
    <w:name w:val="heading 1"/>
    <w:basedOn w:val="a"/>
    <w:next w:val="a0"/>
    <w:link w:val="10"/>
    <w:uiPriority w:val="9"/>
    <w:qFormat/>
    <w:rsid w:val="00420450"/>
    <w:pPr>
      <w:numPr>
        <w:numId w:val="0"/>
      </w:numPr>
      <w:ind w:left="360"/>
      <w:contextualSpacing w:val="0"/>
      <w:jc w:val="center"/>
      <w:outlineLvl w:val="0"/>
    </w:pPr>
    <w:rPr>
      <w:rFonts w:asciiTheme="majorBidi" w:hAnsiTheme="majorBidi" w:cstheme="majorBidi"/>
    </w:rPr>
  </w:style>
  <w:style w:type="paragraph" w:styleId="2">
    <w:name w:val="heading 2"/>
    <w:basedOn w:val="a"/>
    <w:next w:val="a0"/>
    <w:link w:val="20"/>
    <w:uiPriority w:val="9"/>
    <w:unhideWhenUsed/>
    <w:qFormat/>
    <w:rsid w:val="00420450"/>
    <w:pPr>
      <w:numPr>
        <w:numId w:val="0"/>
      </w:numPr>
      <w:spacing w:beforeLines="20" w:before="48" w:after="30"/>
      <w:contextualSpacing w:val="0"/>
      <w:outlineLvl w:val="1"/>
    </w:pPr>
    <w:rPr>
      <w:rFonts w:asciiTheme="majorBidi" w:hAnsiTheme="majorBidi" w:cstheme="majorBidi"/>
    </w:rPr>
  </w:style>
  <w:style w:type="paragraph" w:styleId="3">
    <w:name w:val="heading 3"/>
    <w:basedOn w:val="a0"/>
    <w:next w:val="a0"/>
    <w:link w:val="30"/>
    <w:uiPriority w:val="9"/>
    <w:semiHidden/>
    <w:unhideWhenUsed/>
    <w:qFormat/>
    <w:rsid w:val="00BD6656"/>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0"/>
    <w:next w:val="a0"/>
    <w:link w:val="40"/>
    <w:uiPriority w:val="9"/>
    <w:semiHidden/>
    <w:unhideWhenUsed/>
    <w:qFormat/>
    <w:rsid w:val="00BD665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BD6656"/>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BD6656"/>
    <w:pPr>
      <w:keepNext/>
      <w:keepLines/>
      <w:spacing w:before="4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0"/>
    <w:uiPriority w:val="9"/>
    <w:semiHidden/>
    <w:unhideWhenUsed/>
    <w:qFormat/>
    <w:rsid w:val="00BD6656"/>
    <w:pPr>
      <w:keepNext/>
      <w:keepLines/>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0"/>
    <w:uiPriority w:val="9"/>
    <w:semiHidden/>
    <w:unhideWhenUsed/>
    <w:qFormat/>
    <w:rsid w:val="00BD6656"/>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BD6656"/>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420450"/>
    <w:rPr>
      <w:rFonts w:asciiTheme="majorBidi" w:hAnsiTheme="majorBidi" w:cstheme="majorBidi"/>
      <w:b/>
      <w:sz w:val="24"/>
      <w:szCs w:val="24"/>
      <w:lang w:bidi="ar-SA"/>
    </w:rPr>
  </w:style>
  <w:style w:type="character" w:customStyle="1" w:styleId="20">
    <w:name w:val="כותרת 2 תו"/>
    <w:basedOn w:val="a1"/>
    <w:link w:val="2"/>
    <w:uiPriority w:val="9"/>
    <w:rsid w:val="00420450"/>
    <w:rPr>
      <w:rFonts w:asciiTheme="majorBidi" w:hAnsiTheme="majorBidi" w:cstheme="majorBidi"/>
      <w:b/>
      <w:sz w:val="24"/>
      <w:szCs w:val="24"/>
      <w:lang w:bidi="ar-SA"/>
    </w:rPr>
  </w:style>
  <w:style w:type="character" w:customStyle="1" w:styleId="30">
    <w:name w:val="כותרת 3 תו"/>
    <w:basedOn w:val="a1"/>
    <w:link w:val="3"/>
    <w:uiPriority w:val="9"/>
    <w:semiHidden/>
    <w:rsid w:val="00BD6656"/>
    <w:rPr>
      <w:rFonts w:asciiTheme="majorHAnsi" w:eastAsiaTheme="majorEastAsia" w:hAnsiTheme="majorHAnsi" w:cstheme="majorBidi"/>
      <w:color w:val="1F4E79" w:themeColor="accent1" w:themeShade="80"/>
      <w:sz w:val="24"/>
      <w:szCs w:val="24"/>
    </w:rPr>
  </w:style>
  <w:style w:type="paragraph" w:styleId="a4">
    <w:name w:val="List Paragraph"/>
    <w:basedOn w:val="a0"/>
    <w:link w:val="a5"/>
    <w:uiPriority w:val="34"/>
    <w:qFormat/>
    <w:rsid w:val="00492BA3"/>
    <w:pPr>
      <w:ind w:left="720"/>
      <w:contextualSpacing/>
    </w:pPr>
  </w:style>
  <w:style w:type="character" w:customStyle="1" w:styleId="apple-converted-space">
    <w:name w:val="apple-converted-space"/>
    <w:basedOn w:val="a1"/>
    <w:rsid w:val="009744F1"/>
  </w:style>
  <w:style w:type="character" w:customStyle="1" w:styleId="hit">
    <w:name w:val="hit"/>
    <w:basedOn w:val="a1"/>
    <w:rsid w:val="009744F1"/>
  </w:style>
  <w:style w:type="character" w:styleId="Hyperlink">
    <w:name w:val="Hyperlink"/>
    <w:basedOn w:val="a1"/>
    <w:uiPriority w:val="99"/>
    <w:unhideWhenUsed/>
    <w:rsid w:val="00FB69F8"/>
    <w:rPr>
      <w:color w:val="0000FF"/>
      <w:u w:val="single"/>
    </w:rPr>
  </w:style>
  <w:style w:type="paragraph" w:styleId="a6">
    <w:name w:val="Title"/>
    <w:basedOn w:val="a0"/>
    <w:next w:val="a0"/>
    <w:link w:val="a7"/>
    <w:uiPriority w:val="10"/>
    <w:qFormat/>
    <w:rsid w:val="00BD6656"/>
    <w:pPr>
      <w:contextualSpacing/>
    </w:pPr>
    <w:rPr>
      <w:rFonts w:asciiTheme="majorHAnsi" w:eastAsiaTheme="majorEastAsia" w:hAnsiTheme="majorHAnsi" w:cstheme="majorBidi"/>
      <w:spacing w:val="-10"/>
      <w:sz w:val="56"/>
      <w:szCs w:val="56"/>
    </w:rPr>
  </w:style>
  <w:style w:type="character" w:customStyle="1" w:styleId="a7">
    <w:name w:val="כותרת טקסט תו"/>
    <w:basedOn w:val="a1"/>
    <w:link w:val="a6"/>
    <w:uiPriority w:val="10"/>
    <w:rsid w:val="00BD6656"/>
    <w:rPr>
      <w:rFonts w:asciiTheme="majorHAnsi" w:eastAsiaTheme="majorEastAsia" w:hAnsiTheme="majorHAnsi" w:cstheme="majorBidi"/>
      <w:spacing w:val="-10"/>
      <w:sz w:val="56"/>
      <w:szCs w:val="56"/>
    </w:rPr>
  </w:style>
  <w:style w:type="paragraph" w:styleId="a8">
    <w:name w:val="header"/>
    <w:basedOn w:val="a0"/>
    <w:link w:val="a9"/>
    <w:uiPriority w:val="99"/>
    <w:unhideWhenUsed/>
    <w:rsid w:val="00986938"/>
    <w:pPr>
      <w:tabs>
        <w:tab w:val="center" w:pos="4153"/>
        <w:tab w:val="right" w:pos="8306"/>
      </w:tabs>
    </w:pPr>
  </w:style>
  <w:style w:type="character" w:customStyle="1" w:styleId="a9">
    <w:name w:val="כותרת עליונה תו"/>
    <w:basedOn w:val="a1"/>
    <w:link w:val="a8"/>
    <w:uiPriority w:val="99"/>
    <w:rsid w:val="00986938"/>
  </w:style>
  <w:style w:type="paragraph" w:styleId="aa">
    <w:name w:val="footer"/>
    <w:basedOn w:val="a0"/>
    <w:link w:val="ab"/>
    <w:uiPriority w:val="99"/>
    <w:unhideWhenUsed/>
    <w:rsid w:val="00986938"/>
    <w:pPr>
      <w:tabs>
        <w:tab w:val="center" w:pos="4153"/>
        <w:tab w:val="right" w:pos="8306"/>
      </w:tabs>
    </w:pPr>
  </w:style>
  <w:style w:type="character" w:customStyle="1" w:styleId="ab">
    <w:name w:val="כותרת תחתונה תו"/>
    <w:basedOn w:val="a1"/>
    <w:link w:val="aa"/>
    <w:uiPriority w:val="99"/>
    <w:rsid w:val="00986938"/>
  </w:style>
  <w:style w:type="paragraph" w:styleId="NormalWeb">
    <w:name w:val="Normal (Web)"/>
    <w:basedOn w:val="a0"/>
    <w:uiPriority w:val="99"/>
    <w:semiHidden/>
    <w:unhideWhenUsed/>
    <w:rsid w:val="00E121EC"/>
    <w:pPr>
      <w:spacing w:before="100" w:beforeAutospacing="1" w:after="100" w:afterAutospacing="1"/>
    </w:pPr>
    <w:rPr>
      <w:rFonts w:ascii="Times New Roman" w:eastAsia="Times New Roman" w:hAnsi="Times New Roman" w:cs="Times New Roman"/>
      <w:sz w:val="24"/>
      <w:szCs w:val="24"/>
    </w:rPr>
  </w:style>
  <w:style w:type="table" w:styleId="ac">
    <w:name w:val="Table Grid"/>
    <w:basedOn w:val="a2"/>
    <w:uiPriority w:val="39"/>
    <w:rsid w:val="00A5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טקסט בלונים תו"/>
    <w:basedOn w:val="a1"/>
    <w:link w:val="ae"/>
    <w:uiPriority w:val="99"/>
    <w:semiHidden/>
    <w:rsid w:val="00A567FB"/>
    <w:rPr>
      <w:rFonts w:ascii="Tahoma" w:hAnsi="Tahoma" w:cs="Tahoma"/>
      <w:sz w:val="18"/>
      <w:szCs w:val="18"/>
    </w:rPr>
  </w:style>
  <w:style w:type="paragraph" w:styleId="ae">
    <w:name w:val="Balloon Text"/>
    <w:basedOn w:val="a0"/>
    <w:link w:val="ad"/>
    <w:uiPriority w:val="99"/>
    <w:semiHidden/>
    <w:unhideWhenUsed/>
    <w:rsid w:val="00A567FB"/>
    <w:rPr>
      <w:rFonts w:ascii="Tahoma" w:hAnsi="Tahoma" w:cs="Tahoma"/>
      <w:sz w:val="18"/>
      <w:szCs w:val="18"/>
    </w:rPr>
  </w:style>
  <w:style w:type="character" w:customStyle="1" w:styleId="af">
    <w:name w:val="טקסט הערה תו"/>
    <w:basedOn w:val="a1"/>
    <w:link w:val="af0"/>
    <w:uiPriority w:val="99"/>
    <w:semiHidden/>
    <w:rsid w:val="00A567FB"/>
    <w:rPr>
      <w:sz w:val="20"/>
      <w:szCs w:val="20"/>
    </w:rPr>
  </w:style>
  <w:style w:type="paragraph" w:styleId="af0">
    <w:name w:val="annotation text"/>
    <w:basedOn w:val="a0"/>
    <w:link w:val="af"/>
    <w:uiPriority w:val="99"/>
    <w:semiHidden/>
    <w:unhideWhenUsed/>
    <w:rsid w:val="00A567FB"/>
    <w:rPr>
      <w:sz w:val="20"/>
      <w:szCs w:val="20"/>
    </w:rPr>
  </w:style>
  <w:style w:type="character" w:customStyle="1" w:styleId="af1">
    <w:name w:val="נושא הערה תו"/>
    <w:basedOn w:val="af"/>
    <w:link w:val="af2"/>
    <w:uiPriority w:val="99"/>
    <w:semiHidden/>
    <w:rsid w:val="00A567FB"/>
    <w:rPr>
      <w:b/>
      <w:bCs/>
      <w:sz w:val="20"/>
      <w:szCs w:val="20"/>
    </w:rPr>
  </w:style>
  <w:style w:type="paragraph" w:styleId="af2">
    <w:name w:val="annotation subject"/>
    <w:basedOn w:val="af0"/>
    <w:next w:val="af0"/>
    <w:link w:val="af1"/>
    <w:uiPriority w:val="99"/>
    <w:semiHidden/>
    <w:unhideWhenUsed/>
    <w:rsid w:val="00A567FB"/>
    <w:rPr>
      <w:b/>
      <w:bCs/>
    </w:rPr>
  </w:style>
  <w:style w:type="character" w:styleId="FollowedHyperlink">
    <w:name w:val="FollowedHyperlink"/>
    <w:basedOn w:val="a1"/>
    <w:uiPriority w:val="99"/>
    <w:semiHidden/>
    <w:unhideWhenUsed/>
    <w:rsid w:val="00FD34CF"/>
    <w:rPr>
      <w:color w:val="954F72" w:themeColor="followedHyperlink"/>
      <w:u w:val="single"/>
    </w:rPr>
  </w:style>
  <w:style w:type="character" w:customStyle="1" w:styleId="40">
    <w:name w:val="כותרת 4 תו"/>
    <w:basedOn w:val="a1"/>
    <w:link w:val="4"/>
    <w:uiPriority w:val="9"/>
    <w:semiHidden/>
    <w:rsid w:val="00BD6656"/>
    <w:rPr>
      <w:rFonts w:asciiTheme="majorHAnsi" w:eastAsiaTheme="majorEastAsia" w:hAnsiTheme="majorHAnsi" w:cstheme="majorBidi"/>
      <w:i/>
      <w:iCs/>
      <w:color w:val="2E74B5" w:themeColor="accent1" w:themeShade="BF"/>
    </w:rPr>
  </w:style>
  <w:style w:type="character" w:customStyle="1" w:styleId="50">
    <w:name w:val="כותרת 5 תו"/>
    <w:basedOn w:val="a1"/>
    <w:link w:val="5"/>
    <w:uiPriority w:val="9"/>
    <w:semiHidden/>
    <w:rsid w:val="00BD6656"/>
    <w:rPr>
      <w:rFonts w:asciiTheme="majorHAnsi" w:eastAsiaTheme="majorEastAsia" w:hAnsiTheme="majorHAnsi" w:cstheme="majorBidi"/>
      <w:color w:val="2E74B5" w:themeColor="accent1" w:themeShade="BF"/>
    </w:rPr>
  </w:style>
  <w:style w:type="character" w:customStyle="1" w:styleId="60">
    <w:name w:val="כותרת 6 תו"/>
    <w:basedOn w:val="a1"/>
    <w:link w:val="6"/>
    <w:uiPriority w:val="9"/>
    <w:semiHidden/>
    <w:rsid w:val="00BD6656"/>
    <w:rPr>
      <w:rFonts w:asciiTheme="majorHAnsi" w:eastAsiaTheme="majorEastAsia" w:hAnsiTheme="majorHAnsi" w:cstheme="majorBidi"/>
      <w:color w:val="1F4E79" w:themeColor="accent1" w:themeShade="80"/>
    </w:rPr>
  </w:style>
  <w:style w:type="character" w:customStyle="1" w:styleId="70">
    <w:name w:val="כותרת 7 תו"/>
    <w:basedOn w:val="a1"/>
    <w:link w:val="7"/>
    <w:uiPriority w:val="9"/>
    <w:semiHidden/>
    <w:rsid w:val="00BD6656"/>
    <w:rPr>
      <w:rFonts w:asciiTheme="majorHAnsi" w:eastAsiaTheme="majorEastAsia" w:hAnsiTheme="majorHAnsi" w:cstheme="majorBidi"/>
      <w:i/>
      <w:iCs/>
      <w:color w:val="1F4E79" w:themeColor="accent1" w:themeShade="80"/>
    </w:rPr>
  </w:style>
  <w:style w:type="character" w:customStyle="1" w:styleId="80">
    <w:name w:val="כותרת 8 תו"/>
    <w:basedOn w:val="a1"/>
    <w:link w:val="8"/>
    <w:uiPriority w:val="9"/>
    <w:semiHidden/>
    <w:rsid w:val="00BD6656"/>
    <w:rPr>
      <w:rFonts w:asciiTheme="majorHAnsi" w:eastAsiaTheme="majorEastAsia" w:hAnsiTheme="majorHAnsi" w:cstheme="majorBidi"/>
      <w:color w:val="262626" w:themeColor="text1" w:themeTint="D9"/>
      <w:sz w:val="21"/>
      <w:szCs w:val="21"/>
    </w:rPr>
  </w:style>
  <w:style w:type="character" w:customStyle="1" w:styleId="90">
    <w:name w:val="כותרת 9 תו"/>
    <w:basedOn w:val="a1"/>
    <w:link w:val="9"/>
    <w:uiPriority w:val="9"/>
    <w:semiHidden/>
    <w:rsid w:val="00BD6656"/>
    <w:rPr>
      <w:rFonts w:asciiTheme="majorHAnsi" w:eastAsiaTheme="majorEastAsia" w:hAnsiTheme="majorHAnsi" w:cstheme="majorBidi"/>
      <w:i/>
      <w:iCs/>
      <w:color w:val="262626" w:themeColor="text1" w:themeTint="D9"/>
      <w:sz w:val="21"/>
      <w:szCs w:val="21"/>
    </w:rPr>
  </w:style>
  <w:style w:type="paragraph" w:styleId="af3">
    <w:name w:val="caption"/>
    <w:basedOn w:val="a0"/>
    <w:next w:val="a0"/>
    <w:uiPriority w:val="35"/>
    <w:semiHidden/>
    <w:unhideWhenUsed/>
    <w:qFormat/>
    <w:rsid w:val="00BD6656"/>
    <w:pPr>
      <w:spacing w:after="200"/>
    </w:pPr>
    <w:rPr>
      <w:i/>
      <w:iCs/>
      <w:color w:val="44546A" w:themeColor="text2"/>
      <w:sz w:val="18"/>
      <w:szCs w:val="18"/>
    </w:rPr>
  </w:style>
  <w:style w:type="paragraph" w:styleId="af4">
    <w:name w:val="Subtitle"/>
    <w:basedOn w:val="a0"/>
    <w:next w:val="a0"/>
    <w:link w:val="af5"/>
    <w:uiPriority w:val="11"/>
    <w:qFormat/>
    <w:rsid w:val="00BD6656"/>
    <w:pPr>
      <w:numPr>
        <w:ilvl w:val="1"/>
      </w:numPr>
      <w:ind w:left="357" w:firstLineChars="200" w:firstLine="198"/>
    </w:pPr>
    <w:rPr>
      <w:color w:val="5A5A5A" w:themeColor="text1" w:themeTint="A5"/>
      <w:spacing w:val="15"/>
    </w:rPr>
  </w:style>
  <w:style w:type="character" w:customStyle="1" w:styleId="af5">
    <w:name w:val="כותרת משנה תו"/>
    <w:basedOn w:val="a1"/>
    <w:link w:val="af4"/>
    <w:uiPriority w:val="11"/>
    <w:rsid w:val="00BD6656"/>
    <w:rPr>
      <w:color w:val="5A5A5A" w:themeColor="text1" w:themeTint="A5"/>
      <w:spacing w:val="15"/>
    </w:rPr>
  </w:style>
  <w:style w:type="character" w:styleId="af6">
    <w:name w:val="Strong"/>
    <w:basedOn w:val="a1"/>
    <w:uiPriority w:val="22"/>
    <w:qFormat/>
    <w:rsid w:val="00BD6656"/>
    <w:rPr>
      <w:b/>
      <w:bCs/>
      <w:color w:val="auto"/>
    </w:rPr>
  </w:style>
  <w:style w:type="character" w:styleId="af7">
    <w:name w:val="Emphasis"/>
    <w:basedOn w:val="a1"/>
    <w:uiPriority w:val="20"/>
    <w:qFormat/>
    <w:rsid w:val="00BD6656"/>
    <w:rPr>
      <w:i/>
      <w:iCs/>
      <w:color w:val="auto"/>
    </w:rPr>
  </w:style>
  <w:style w:type="paragraph" w:styleId="af8">
    <w:name w:val="No Spacing"/>
    <w:uiPriority w:val="1"/>
    <w:qFormat/>
    <w:rsid w:val="00BD6656"/>
  </w:style>
  <w:style w:type="paragraph" w:styleId="af9">
    <w:name w:val="Quote"/>
    <w:basedOn w:val="a0"/>
    <w:next w:val="a0"/>
    <w:link w:val="afa"/>
    <w:uiPriority w:val="29"/>
    <w:qFormat/>
    <w:rsid w:val="00BD6656"/>
    <w:pPr>
      <w:spacing w:before="200"/>
      <w:ind w:left="864" w:right="864"/>
    </w:pPr>
    <w:rPr>
      <w:i/>
      <w:iCs/>
      <w:color w:val="404040" w:themeColor="text1" w:themeTint="BF"/>
    </w:rPr>
  </w:style>
  <w:style w:type="character" w:customStyle="1" w:styleId="afa">
    <w:name w:val="ציטוט תו"/>
    <w:basedOn w:val="a1"/>
    <w:link w:val="af9"/>
    <w:uiPriority w:val="29"/>
    <w:rsid w:val="00BD6656"/>
    <w:rPr>
      <w:i/>
      <w:iCs/>
      <w:color w:val="404040" w:themeColor="text1" w:themeTint="BF"/>
    </w:rPr>
  </w:style>
  <w:style w:type="paragraph" w:styleId="afb">
    <w:name w:val="Intense Quote"/>
    <w:basedOn w:val="a0"/>
    <w:next w:val="a0"/>
    <w:link w:val="afc"/>
    <w:uiPriority w:val="30"/>
    <w:qFormat/>
    <w:rsid w:val="00BD66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c">
    <w:name w:val="ציטוט חזק תו"/>
    <w:basedOn w:val="a1"/>
    <w:link w:val="afb"/>
    <w:uiPriority w:val="30"/>
    <w:rsid w:val="00BD6656"/>
    <w:rPr>
      <w:i/>
      <w:iCs/>
      <w:color w:val="5B9BD5" w:themeColor="accent1"/>
    </w:rPr>
  </w:style>
  <w:style w:type="character" w:styleId="afd">
    <w:name w:val="Subtle Emphasis"/>
    <w:basedOn w:val="a1"/>
    <w:uiPriority w:val="19"/>
    <w:qFormat/>
    <w:rsid w:val="00BD6656"/>
    <w:rPr>
      <w:i/>
      <w:iCs/>
      <w:color w:val="404040" w:themeColor="text1" w:themeTint="BF"/>
    </w:rPr>
  </w:style>
  <w:style w:type="character" w:styleId="afe">
    <w:name w:val="Intense Emphasis"/>
    <w:basedOn w:val="a1"/>
    <w:uiPriority w:val="21"/>
    <w:qFormat/>
    <w:rsid w:val="00BD6656"/>
    <w:rPr>
      <w:i/>
      <w:iCs/>
      <w:color w:val="5B9BD5" w:themeColor="accent1"/>
    </w:rPr>
  </w:style>
  <w:style w:type="character" w:styleId="aff">
    <w:name w:val="Subtle Reference"/>
    <w:basedOn w:val="a1"/>
    <w:uiPriority w:val="31"/>
    <w:qFormat/>
    <w:rsid w:val="00BD6656"/>
    <w:rPr>
      <w:smallCaps/>
      <w:color w:val="404040" w:themeColor="text1" w:themeTint="BF"/>
    </w:rPr>
  </w:style>
  <w:style w:type="character" w:styleId="aff0">
    <w:name w:val="Intense Reference"/>
    <w:basedOn w:val="a1"/>
    <w:uiPriority w:val="32"/>
    <w:qFormat/>
    <w:rsid w:val="00BD6656"/>
    <w:rPr>
      <w:b/>
      <w:bCs/>
      <w:smallCaps/>
      <w:color w:val="5B9BD5" w:themeColor="accent1"/>
      <w:spacing w:val="5"/>
    </w:rPr>
  </w:style>
  <w:style w:type="character" w:styleId="aff1">
    <w:name w:val="Book Title"/>
    <w:basedOn w:val="a1"/>
    <w:uiPriority w:val="33"/>
    <w:qFormat/>
    <w:rsid w:val="00BD6656"/>
    <w:rPr>
      <w:b/>
      <w:bCs/>
      <w:i/>
      <w:iCs/>
      <w:spacing w:val="5"/>
    </w:rPr>
  </w:style>
  <w:style w:type="paragraph" w:styleId="aff2">
    <w:name w:val="TOC Heading"/>
    <w:basedOn w:val="1"/>
    <w:next w:val="a0"/>
    <w:uiPriority w:val="39"/>
    <w:semiHidden/>
    <w:unhideWhenUsed/>
    <w:qFormat/>
    <w:rsid w:val="00BD6656"/>
    <w:pPr>
      <w:outlineLvl w:val="9"/>
    </w:pPr>
  </w:style>
  <w:style w:type="paragraph" w:customStyle="1" w:styleId="a">
    <w:name w:val="כותרת"/>
    <w:basedOn w:val="a4"/>
    <w:link w:val="aff3"/>
    <w:qFormat/>
    <w:rsid w:val="008B4FB6"/>
    <w:pPr>
      <w:widowControl w:val="0"/>
      <w:numPr>
        <w:numId w:val="15"/>
      </w:numPr>
    </w:pPr>
    <w:rPr>
      <w:rFonts w:ascii="Times New Roman" w:hAnsi="Times New Roman" w:cs="Times New Roman"/>
      <w:b/>
      <w:sz w:val="24"/>
      <w:szCs w:val="24"/>
      <w:lang w:bidi="ar-SA"/>
    </w:rPr>
  </w:style>
  <w:style w:type="paragraph" w:customStyle="1" w:styleId="11">
    <w:name w:val="סגנון1"/>
    <w:basedOn w:val="a"/>
    <w:qFormat/>
    <w:rsid w:val="00B1391C"/>
    <w:pPr>
      <w:ind w:left="360"/>
    </w:pPr>
  </w:style>
  <w:style w:type="character" w:customStyle="1" w:styleId="a5">
    <w:name w:val="פיסקת רשימה תו"/>
    <w:basedOn w:val="a1"/>
    <w:link w:val="a4"/>
    <w:uiPriority w:val="34"/>
    <w:rsid w:val="008B4FB6"/>
  </w:style>
  <w:style w:type="character" w:customStyle="1" w:styleId="aff3">
    <w:name w:val="כותרת תו"/>
    <w:basedOn w:val="a5"/>
    <w:link w:val="a"/>
    <w:rsid w:val="008B4FB6"/>
    <w:rPr>
      <w:rFonts w:ascii="Times New Roman" w:hAnsi="Times New Roman" w:cs="Times New Roman"/>
      <w:b/>
      <w:sz w:val="24"/>
      <w:szCs w:val="24"/>
      <w:lang w:bidi="ar-SA"/>
    </w:rPr>
  </w:style>
  <w:style w:type="paragraph" w:customStyle="1" w:styleId="21">
    <w:name w:val="סגנון2"/>
    <w:basedOn w:val="11"/>
    <w:qFormat/>
    <w:rsid w:val="00B1391C"/>
  </w:style>
  <w:style w:type="character" w:styleId="aff4">
    <w:name w:val="annotation reference"/>
    <w:basedOn w:val="a1"/>
    <w:uiPriority w:val="99"/>
    <w:semiHidden/>
    <w:unhideWhenUsed/>
    <w:rsid w:val="0045218F"/>
    <w:rPr>
      <w:sz w:val="16"/>
      <w:szCs w:val="16"/>
    </w:rPr>
  </w:style>
  <w:style w:type="paragraph" w:customStyle="1" w:styleId="Default">
    <w:name w:val="Default"/>
    <w:link w:val="Default0"/>
    <w:rsid w:val="00254D61"/>
    <w:pPr>
      <w:autoSpaceDE w:val="0"/>
      <w:autoSpaceDN w:val="0"/>
      <w:adjustRightInd w:val="0"/>
      <w:spacing w:after="0" w:line="240" w:lineRule="auto"/>
      <w:ind w:left="0"/>
    </w:pPr>
    <w:rPr>
      <w:rFonts w:ascii="Arial" w:hAnsi="Arial" w:cs="Arial"/>
      <w:color w:val="000000"/>
      <w:sz w:val="24"/>
      <w:szCs w:val="24"/>
      <w:lang w:bidi="ar-SA"/>
    </w:rPr>
  </w:style>
  <w:style w:type="character" w:customStyle="1" w:styleId="Default0">
    <w:name w:val="Default תו"/>
    <w:basedOn w:val="a1"/>
    <w:link w:val="Default"/>
    <w:rsid w:val="00254D61"/>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5250">
      <w:bodyDiv w:val="1"/>
      <w:marLeft w:val="0"/>
      <w:marRight w:val="0"/>
      <w:marTop w:val="0"/>
      <w:marBottom w:val="0"/>
      <w:divBdr>
        <w:top w:val="none" w:sz="0" w:space="0" w:color="auto"/>
        <w:left w:val="none" w:sz="0" w:space="0" w:color="auto"/>
        <w:bottom w:val="none" w:sz="0" w:space="0" w:color="auto"/>
        <w:right w:val="none" w:sz="0" w:space="0" w:color="auto"/>
      </w:divBdr>
    </w:div>
    <w:div w:id="397748625">
      <w:bodyDiv w:val="1"/>
      <w:marLeft w:val="0"/>
      <w:marRight w:val="0"/>
      <w:marTop w:val="0"/>
      <w:marBottom w:val="0"/>
      <w:divBdr>
        <w:top w:val="none" w:sz="0" w:space="0" w:color="auto"/>
        <w:left w:val="none" w:sz="0" w:space="0" w:color="auto"/>
        <w:bottom w:val="none" w:sz="0" w:space="0" w:color="auto"/>
        <w:right w:val="none" w:sz="0" w:space="0" w:color="auto"/>
      </w:divBdr>
    </w:div>
    <w:div w:id="429856884">
      <w:bodyDiv w:val="1"/>
      <w:marLeft w:val="0"/>
      <w:marRight w:val="0"/>
      <w:marTop w:val="0"/>
      <w:marBottom w:val="0"/>
      <w:divBdr>
        <w:top w:val="none" w:sz="0" w:space="0" w:color="auto"/>
        <w:left w:val="none" w:sz="0" w:space="0" w:color="auto"/>
        <w:bottom w:val="none" w:sz="0" w:space="0" w:color="auto"/>
        <w:right w:val="none" w:sz="0" w:space="0" w:color="auto"/>
      </w:divBdr>
    </w:div>
    <w:div w:id="463160533">
      <w:bodyDiv w:val="1"/>
      <w:marLeft w:val="0"/>
      <w:marRight w:val="0"/>
      <w:marTop w:val="0"/>
      <w:marBottom w:val="0"/>
      <w:divBdr>
        <w:top w:val="none" w:sz="0" w:space="0" w:color="auto"/>
        <w:left w:val="none" w:sz="0" w:space="0" w:color="auto"/>
        <w:bottom w:val="none" w:sz="0" w:space="0" w:color="auto"/>
        <w:right w:val="none" w:sz="0" w:space="0" w:color="auto"/>
      </w:divBdr>
    </w:div>
    <w:div w:id="628753862">
      <w:bodyDiv w:val="1"/>
      <w:marLeft w:val="0"/>
      <w:marRight w:val="0"/>
      <w:marTop w:val="0"/>
      <w:marBottom w:val="0"/>
      <w:divBdr>
        <w:top w:val="none" w:sz="0" w:space="0" w:color="auto"/>
        <w:left w:val="none" w:sz="0" w:space="0" w:color="auto"/>
        <w:bottom w:val="none" w:sz="0" w:space="0" w:color="auto"/>
        <w:right w:val="none" w:sz="0" w:space="0" w:color="auto"/>
      </w:divBdr>
    </w:div>
    <w:div w:id="661663867">
      <w:bodyDiv w:val="1"/>
      <w:marLeft w:val="0"/>
      <w:marRight w:val="0"/>
      <w:marTop w:val="0"/>
      <w:marBottom w:val="0"/>
      <w:divBdr>
        <w:top w:val="none" w:sz="0" w:space="0" w:color="auto"/>
        <w:left w:val="none" w:sz="0" w:space="0" w:color="auto"/>
        <w:bottom w:val="none" w:sz="0" w:space="0" w:color="auto"/>
        <w:right w:val="none" w:sz="0" w:space="0" w:color="auto"/>
      </w:divBdr>
    </w:div>
    <w:div w:id="738673312">
      <w:bodyDiv w:val="1"/>
      <w:marLeft w:val="0"/>
      <w:marRight w:val="0"/>
      <w:marTop w:val="0"/>
      <w:marBottom w:val="0"/>
      <w:divBdr>
        <w:top w:val="none" w:sz="0" w:space="0" w:color="auto"/>
        <w:left w:val="none" w:sz="0" w:space="0" w:color="auto"/>
        <w:bottom w:val="none" w:sz="0" w:space="0" w:color="auto"/>
        <w:right w:val="none" w:sz="0" w:space="0" w:color="auto"/>
      </w:divBdr>
    </w:div>
    <w:div w:id="780490629">
      <w:bodyDiv w:val="1"/>
      <w:marLeft w:val="0"/>
      <w:marRight w:val="0"/>
      <w:marTop w:val="0"/>
      <w:marBottom w:val="0"/>
      <w:divBdr>
        <w:top w:val="none" w:sz="0" w:space="0" w:color="auto"/>
        <w:left w:val="none" w:sz="0" w:space="0" w:color="auto"/>
        <w:bottom w:val="none" w:sz="0" w:space="0" w:color="auto"/>
        <w:right w:val="none" w:sz="0" w:space="0" w:color="auto"/>
      </w:divBdr>
    </w:div>
    <w:div w:id="839657945">
      <w:bodyDiv w:val="1"/>
      <w:marLeft w:val="0"/>
      <w:marRight w:val="0"/>
      <w:marTop w:val="0"/>
      <w:marBottom w:val="0"/>
      <w:divBdr>
        <w:top w:val="none" w:sz="0" w:space="0" w:color="auto"/>
        <w:left w:val="none" w:sz="0" w:space="0" w:color="auto"/>
        <w:bottom w:val="none" w:sz="0" w:space="0" w:color="auto"/>
        <w:right w:val="none" w:sz="0" w:space="0" w:color="auto"/>
      </w:divBdr>
    </w:div>
    <w:div w:id="933171226">
      <w:bodyDiv w:val="1"/>
      <w:marLeft w:val="0"/>
      <w:marRight w:val="0"/>
      <w:marTop w:val="0"/>
      <w:marBottom w:val="0"/>
      <w:divBdr>
        <w:top w:val="none" w:sz="0" w:space="0" w:color="auto"/>
        <w:left w:val="none" w:sz="0" w:space="0" w:color="auto"/>
        <w:bottom w:val="none" w:sz="0" w:space="0" w:color="auto"/>
        <w:right w:val="none" w:sz="0" w:space="0" w:color="auto"/>
      </w:divBdr>
    </w:div>
    <w:div w:id="1198662110">
      <w:bodyDiv w:val="1"/>
      <w:marLeft w:val="0"/>
      <w:marRight w:val="0"/>
      <w:marTop w:val="0"/>
      <w:marBottom w:val="0"/>
      <w:divBdr>
        <w:top w:val="none" w:sz="0" w:space="0" w:color="auto"/>
        <w:left w:val="none" w:sz="0" w:space="0" w:color="auto"/>
        <w:bottom w:val="none" w:sz="0" w:space="0" w:color="auto"/>
        <w:right w:val="none" w:sz="0" w:space="0" w:color="auto"/>
      </w:divBdr>
    </w:div>
    <w:div w:id="1309896953">
      <w:bodyDiv w:val="1"/>
      <w:marLeft w:val="0"/>
      <w:marRight w:val="0"/>
      <w:marTop w:val="0"/>
      <w:marBottom w:val="0"/>
      <w:divBdr>
        <w:top w:val="none" w:sz="0" w:space="0" w:color="auto"/>
        <w:left w:val="none" w:sz="0" w:space="0" w:color="auto"/>
        <w:bottom w:val="none" w:sz="0" w:space="0" w:color="auto"/>
        <w:right w:val="none" w:sz="0" w:space="0" w:color="auto"/>
      </w:divBdr>
    </w:div>
    <w:div w:id="1376151852">
      <w:bodyDiv w:val="1"/>
      <w:marLeft w:val="0"/>
      <w:marRight w:val="0"/>
      <w:marTop w:val="0"/>
      <w:marBottom w:val="0"/>
      <w:divBdr>
        <w:top w:val="none" w:sz="0" w:space="0" w:color="auto"/>
        <w:left w:val="none" w:sz="0" w:space="0" w:color="auto"/>
        <w:bottom w:val="none" w:sz="0" w:space="0" w:color="auto"/>
        <w:right w:val="none" w:sz="0" w:space="0" w:color="auto"/>
      </w:divBdr>
    </w:div>
    <w:div w:id="1908609597">
      <w:bodyDiv w:val="1"/>
      <w:marLeft w:val="0"/>
      <w:marRight w:val="0"/>
      <w:marTop w:val="0"/>
      <w:marBottom w:val="0"/>
      <w:divBdr>
        <w:top w:val="none" w:sz="0" w:space="0" w:color="auto"/>
        <w:left w:val="none" w:sz="0" w:space="0" w:color="auto"/>
        <w:bottom w:val="none" w:sz="0" w:space="0" w:color="auto"/>
        <w:right w:val="none" w:sz="0" w:space="0" w:color="auto"/>
      </w:divBdr>
    </w:div>
    <w:div w:id="1957524357">
      <w:bodyDiv w:val="1"/>
      <w:marLeft w:val="0"/>
      <w:marRight w:val="0"/>
      <w:marTop w:val="0"/>
      <w:marBottom w:val="0"/>
      <w:divBdr>
        <w:top w:val="none" w:sz="0" w:space="0" w:color="auto"/>
        <w:left w:val="none" w:sz="0" w:space="0" w:color="auto"/>
        <w:bottom w:val="none" w:sz="0" w:space="0" w:color="auto"/>
        <w:right w:val="none" w:sz="0" w:space="0" w:color="auto"/>
      </w:divBdr>
    </w:div>
    <w:div w:id="1965505089">
      <w:bodyDiv w:val="1"/>
      <w:marLeft w:val="0"/>
      <w:marRight w:val="0"/>
      <w:marTop w:val="0"/>
      <w:marBottom w:val="0"/>
      <w:divBdr>
        <w:top w:val="none" w:sz="0" w:space="0" w:color="auto"/>
        <w:left w:val="none" w:sz="0" w:space="0" w:color="auto"/>
        <w:bottom w:val="none" w:sz="0" w:space="0" w:color="auto"/>
        <w:right w:val="none" w:sz="0" w:space="0" w:color="auto"/>
      </w:divBdr>
    </w:div>
    <w:div w:id="1979920942">
      <w:bodyDiv w:val="1"/>
      <w:marLeft w:val="0"/>
      <w:marRight w:val="0"/>
      <w:marTop w:val="0"/>
      <w:marBottom w:val="0"/>
      <w:divBdr>
        <w:top w:val="none" w:sz="0" w:space="0" w:color="auto"/>
        <w:left w:val="none" w:sz="0" w:space="0" w:color="auto"/>
        <w:bottom w:val="none" w:sz="0" w:space="0" w:color="auto"/>
        <w:right w:val="none" w:sz="0" w:space="0" w:color="auto"/>
      </w:divBdr>
    </w:div>
    <w:div w:id="20663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daq.com/screening/company-list.aspx" TargetMode="External"/><Relationship Id="rId3" Type="http://schemas.openxmlformats.org/officeDocument/2006/relationships/styles" Target="styles.xml"/><Relationship Id="rId7" Type="http://schemas.openxmlformats.org/officeDocument/2006/relationships/hyperlink" Target="https://en.wikipedia.org/wiki/Business_repor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emant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1">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08F5-3E8D-4C0C-9652-07B7DD58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1</Pages>
  <Words>30460</Words>
  <Characters>152301</Characters>
  <Application>Microsoft Office Word</Application>
  <DocSecurity>0</DocSecurity>
  <Lines>1269</Lines>
  <Paragraphs>364</Paragraphs>
  <ScaleCrop>false</ScaleCrop>
  <HeadingPairs>
    <vt:vector size="6" baseType="variant">
      <vt:variant>
        <vt:lpstr>שם</vt:lpstr>
      </vt:variant>
      <vt:variant>
        <vt:i4>1</vt:i4>
      </vt:variant>
      <vt:variant>
        <vt:lpstr>Title</vt:lpstr>
      </vt:variant>
      <vt:variant>
        <vt:i4>1</vt:i4>
      </vt:variant>
      <vt:variant>
        <vt:lpstr>Headings</vt:lpstr>
      </vt:variant>
      <vt:variant>
        <vt:i4>14</vt:i4>
      </vt:variant>
    </vt:vector>
  </HeadingPairs>
  <TitlesOfParts>
    <vt:vector size="16" baseType="lpstr">
      <vt:lpstr/>
      <vt:lpstr/>
      <vt:lpstr>Abstract</vt:lpstr>
      <vt:lpstr>Introduction</vt:lpstr>
      <vt:lpstr>II. Academic Reseach</vt:lpstr>
      <vt:lpstr>    Evaluation of the O&amp;P and Consequent Studies</vt:lpstr>
      <vt:lpstr>        Ou &amp; Penman (1989)</vt:lpstr>
      <vt:lpstr>        Replication of O&amp;P</vt:lpstr>
      <vt:lpstr>    Validity of XBRL</vt:lpstr>
      <vt:lpstr>III. DATA AND METHOD</vt:lpstr>
      <vt:lpstr>    Data</vt:lpstr>
      <vt:lpstr>    Method </vt:lpstr>
      <vt:lpstr>IV. Models</vt:lpstr>
      <vt:lpstr>    The Model Forecasts</vt:lpstr>
      <vt:lpstr>V. Conclusion </vt:lpstr>
      <vt:lpstr>Bibliography</vt:lpstr>
    </vt:vector>
  </TitlesOfParts>
  <Company/>
  <LinksUpToDate>false</LinksUpToDate>
  <CharactersWithSpaces>182397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 Rimona Palas</cp:lastModifiedBy>
  <cp:revision>4</cp:revision>
  <dcterms:created xsi:type="dcterms:W3CDTF">2018-01-04T06:38:00Z</dcterms:created>
  <dcterms:modified xsi:type="dcterms:W3CDTF">2018-01-08T16:05:00Z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ce435285-7621-37ac-aab5-60326a2e3974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