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53B12E28" w:rsidR="008670D6" w:rsidRDefault="00F34B6F" w:rsidP="008670D6">
      <w:pPr>
        <w:pStyle w:val="Title"/>
      </w:pPr>
      <w:r>
        <w:t>ic-</w:t>
      </w:r>
      <w:r w:rsidR="00AE066F">
        <w:t>1</w:t>
      </w:r>
      <w:r w:rsidR="00944F6C">
        <w:t>2</w:t>
      </w:r>
      <w:r w:rsidR="00290AF8" w:rsidRPr="008670D6">
        <w:t xml:space="preserve">: </w:t>
      </w:r>
      <w:r w:rsidR="00944F6C">
        <w:t>Visualization for Communication</w:t>
      </w:r>
    </w:p>
    <w:p w14:paraId="68C6775F" w14:textId="6967F3D0" w:rsidR="00290AF8" w:rsidRPr="008670D6" w:rsidRDefault="00290AF8" w:rsidP="00DB05F7">
      <w:pPr>
        <w:pStyle w:val="asn-type"/>
      </w:pPr>
      <w:r w:rsidRPr="008670D6">
        <w:t xml:space="preserve">This is </w:t>
      </w:r>
      <w:r w:rsidR="00944F6C">
        <w:t xml:space="preserve">a group </w:t>
      </w:r>
      <w:proofErr w:type="gramStart"/>
      <w:r w:rsidR="00944F6C">
        <w:t>assignment</w:t>
      </w:r>
      <w:proofErr w:type="gramEnd"/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77C6544F" w14:textId="574132FA" w:rsidR="00683682" w:rsidRPr="00683682" w:rsidRDefault="00683682" w:rsidP="00683682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</w:t>
      </w:r>
      <w:r w:rsidR="00944F6C">
        <w:rPr>
          <w:rFonts w:ascii="Arial" w:eastAsia="Times New Roman" w:hAnsi="Arial" w:cs="Arial"/>
          <w:color w:val="000000"/>
          <w:szCs w:val="22"/>
          <w:lang w:eastAsia="en-US"/>
        </w:rPr>
        <w:t>design a visualization for communication</w:t>
      </w: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.  </w:t>
      </w:r>
    </w:p>
    <w:p w14:paraId="015877AB" w14:textId="30840CC8" w:rsidR="00944F6C" w:rsidRPr="00944F6C" w:rsidRDefault="00273500" w:rsidP="00944F6C">
      <w:pPr>
        <w:pStyle w:val="Heading1"/>
      </w:pPr>
      <w:r>
        <w:t>Tasks:</w:t>
      </w:r>
    </w:p>
    <w:p w14:paraId="72DB0916" w14:textId="48DE07AD" w:rsidR="00D31B34" w:rsidRDefault="00D31B34" w:rsidP="00EB5967">
      <w:pPr>
        <w:spacing w:after="0"/>
        <w:rPr>
          <w:rFonts w:ascii="Arial" w:eastAsia="Times New Roman" w:hAnsi="Arial" w:cs="Arial"/>
          <w:color w:val="auto"/>
          <w:szCs w:val="22"/>
          <w:lang w:eastAsia="en-US"/>
        </w:rPr>
      </w:pPr>
      <w:r>
        <w:rPr>
          <w:rFonts w:ascii="Arial" w:eastAsia="Times New Roman" w:hAnsi="Arial" w:cs="Arial"/>
          <w:color w:val="auto"/>
          <w:szCs w:val="22"/>
          <w:lang w:eastAsia="en-US"/>
        </w:rPr>
        <w:t xml:space="preserve">Form a group of 2-4 people. Please submit as a group on </w:t>
      </w:r>
      <w:proofErr w:type="spellStart"/>
      <w:r w:rsidR="00FE783A">
        <w:rPr>
          <w:rFonts w:ascii="Arial" w:eastAsia="Times New Roman" w:hAnsi="Arial" w:cs="Arial"/>
          <w:color w:val="auto"/>
          <w:szCs w:val="22"/>
          <w:lang w:eastAsia="en-US"/>
        </w:rPr>
        <w:t>G</w:t>
      </w:r>
      <w:r>
        <w:rPr>
          <w:rFonts w:ascii="Arial" w:eastAsia="Times New Roman" w:hAnsi="Arial" w:cs="Arial"/>
          <w:color w:val="auto"/>
          <w:szCs w:val="22"/>
          <w:lang w:eastAsia="en-US"/>
        </w:rPr>
        <w:t>radescope</w:t>
      </w:r>
      <w:proofErr w:type="spellEnd"/>
      <w:r>
        <w:rPr>
          <w:rFonts w:ascii="Arial" w:eastAsia="Times New Roman" w:hAnsi="Arial" w:cs="Arial"/>
          <w:color w:val="auto"/>
          <w:szCs w:val="22"/>
          <w:lang w:eastAsia="en-US"/>
        </w:rPr>
        <w:t xml:space="preserve">, not individually. </w:t>
      </w:r>
    </w:p>
    <w:p w14:paraId="379F4F2A" w14:textId="77777777" w:rsidR="00D31B34" w:rsidRDefault="00D31B34" w:rsidP="00EB5967">
      <w:pPr>
        <w:spacing w:after="0"/>
        <w:rPr>
          <w:rFonts w:ascii="Arial" w:eastAsia="Times New Roman" w:hAnsi="Arial" w:cs="Arial"/>
          <w:color w:val="auto"/>
          <w:szCs w:val="22"/>
          <w:lang w:eastAsia="en-US"/>
        </w:rPr>
      </w:pPr>
    </w:p>
    <w:p w14:paraId="13361ADD" w14:textId="0383B07A" w:rsidR="00944F6C" w:rsidRDefault="00944F6C" w:rsidP="00EB5967">
      <w:pPr>
        <w:spacing w:after="0"/>
        <w:rPr>
          <w:rFonts w:ascii="Arial" w:eastAsia="Times New Roman" w:hAnsi="Arial" w:cs="Arial"/>
          <w:color w:val="auto"/>
          <w:szCs w:val="22"/>
          <w:lang w:eastAsia="en-US"/>
        </w:rPr>
      </w:pPr>
      <w:r>
        <w:rPr>
          <w:rFonts w:ascii="Arial" w:eastAsia="Times New Roman" w:hAnsi="Arial" w:cs="Arial"/>
          <w:color w:val="auto"/>
          <w:szCs w:val="22"/>
          <w:lang w:eastAsia="en-US"/>
        </w:rPr>
        <w:t xml:space="preserve">Choose a topic of interest to you and create a visualization for communication related to it. You </w:t>
      </w:r>
      <w:r w:rsidR="00FE783A">
        <w:rPr>
          <w:rFonts w:ascii="Arial" w:eastAsia="Times New Roman" w:hAnsi="Arial" w:cs="Arial"/>
          <w:color w:val="auto"/>
          <w:szCs w:val="22"/>
          <w:lang w:eastAsia="en-US"/>
        </w:rPr>
        <w:t>wil</w:t>
      </w:r>
      <w:r w:rsidR="00120CAA">
        <w:rPr>
          <w:rFonts w:ascii="Arial" w:eastAsia="Times New Roman" w:hAnsi="Arial" w:cs="Arial"/>
          <w:color w:val="auto"/>
          <w:szCs w:val="22"/>
          <w:lang w:eastAsia="en-US"/>
        </w:rPr>
        <w:t>l</w:t>
      </w:r>
      <w:r>
        <w:rPr>
          <w:rFonts w:ascii="Arial" w:eastAsia="Times New Roman" w:hAnsi="Arial" w:cs="Arial"/>
          <w:color w:val="auto"/>
          <w:szCs w:val="22"/>
          <w:lang w:eastAsia="en-US"/>
        </w:rPr>
        <w:t xml:space="preserve"> submit a </w:t>
      </w:r>
      <w:r w:rsidR="00FE783A">
        <w:rPr>
          <w:rFonts w:ascii="Arial" w:eastAsia="Times New Roman" w:hAnsi="Arial" w:cs="Arial"/>
          <w:color w:val="auto"/>
          <w:szCs w:val="22"/>
          <w:lang w:eastAsia="en-US"/>
        </w:rPr>
        <w:t xml:space="preserve">polished </w:t>
      </w:r>
      <w:r>
        <w:rPr>
          <w:rFonts w:ascii="Arial" w:eastAsia="Times New Roman" w:hAnsi="Arial" w:cs="Arial"/>
          <w:color w:val="auto"/>
          <w:szCs w:val="22"/>
          <w:lang w:eastAsia="en-US"/>
        </w:rPr>
        <w:t xml:space="preserve">sketch your visualization. </w:t>
      </w:r>
      <w:r w:rsidR="00FE783A">
        <w:rPr>
          <w:rFonts w:ascii="Arial" w:eastAsia="Times New Roman" w:hAnsi="Arial" w:cs="Arial"/>
          <w:color w:val="auto"/>
          <w:szCs w:val="22"/>
          <w:lang w:eastAsia="en-US"/>
        </w:rPr>
        <w:t>Your sketch</w:t>
      </w:r>
      <w:r>
        <w:rPr>
          <w:rFonts w:ascii="Arial" w:eastAsia="Times New Roman" w:hAnsi="Arial" w:cs="Arial"/>
          <w:color w:val="auto"/>
          <w:szCs w:val="22"/>
          <w:lang w:eastAsia="en-US"/>
        </w:rPr>
        <w:t xml:space="preserve"> should be easy to read, creative, engaging, and clear. </w:t>
      </w:r>
    </w:p>
    <w:p w14:paraId="37476192" w14:textId="77777777" w:rsidR="00944F6C" w:rsidRDefault="00944F6C" w:rsidP="00EB5967">
      <w:pPr>
        <w:spacing w:after="0"/>
        <w:rPr>
          <w:rFonts w:ascii="Arial" w:eastAsia="Times New Roman" w:hAnsi="Arial" w:cs="Arial"/>
          <w:color w:val="auto"/>
          <w:szCs w:val="22"/>
          <w:lang w:eastAsia="en-US"/>
        </w:rPr>
      </w:pPr>
    </w:p>
    <w:p w14:paraId="50DD47CE" w14:textId="1EFB9B97" w:rsidR="00944F6C" w:rsidRDefault="00944F6C" w:rsidP="00EB5967">
      <w:pPr>
        <w:spacing w:after="0"/>
        <w:rPr>
          <w:rFonts w:ascii="Arial" w:eastAsia="Times New Roman" w:hAnsi="Arial" w:cs="Arial"/>
          <w:color w:val="auto"/>
          <w:szCs w:val="22"/>
          <w:lang w:eastAsia="en-US"/>
        </w:rPr>
      </w:pPr>
      <w:r>
        <w:rPr>
          <w:rFonts w:ascii="Arial" w:eastAsia="Times New Roman" w:hAnsi="Arial" w:cs="Arial"/>
          <w:color w:val="auto"/>
          <w:szCs w:val="22"/>
          <w:lang w:eastAsia="en-US"/>
        </w:rPr>
        <w:t xml:space="preserve">You could create a visualization that could show up in a news story, a public health infographic, or a creative “fun” visualization in the style of Georgia </w:t>
      </w:r>
      <w:proofErr w:type="spellStart"/>
      <w:r>
        <w:rPr>
          <w:rFonts w:ascii="Arial" w:eastAsia="Times New Roman" w:hAnsi="Arial" w:cs="Arial"/>
          <w:color w:val="auto"/>
          <w:szCs w:val="22"/>
          <w:lang w:eastAsia="en-US"/>
        </w:rPr>
        <w:t>Lupi</w:t>
      </w:r>
      <w:proofErr w:type="spellEnd"/>
      <w:r>
        <w:rPr>
          <w:rFonts w:ascii="Arial" w:eastAsia="Times New Roman" w:hAnsi="Arial" w:cs="Arial"/>
          <w:color w:val="auto"/>
          <w:szCs w:val="22"/>
          <w:lang w:eastAsia="en-US"/>
        </w:rPr>
        <w:t xml:space="preserve"> or Michelle Rial. </w:t>
      </w:r>
      <w:r w:rsidR="00D31B34">
        <w:rPr>
          <w:rFonts w:ascii="Arial" w:eastAsia="Times New Roman" w:hAnsi="Arial" w:cs="Arial"/>
          <w:color w:val="auto"/>
          <w:szCs w:val="22"/>
          <w:lang w:eastAsia="en-US"/>
        </w:rPr>
        <w:t>The specific genre of visualization for communication is up to you. Just be sure that your visualization meets the criteria for a visualization for communication (</w:t>
      </w:r>
      <w:proofErr w:type="gramStart"/>
      <w:r w:rsidR="00D31B34">
        <w:rPr>
          <w:rFonts w:ascii="Arial" w:eastAsia="Times New Roman" w:hAnsi="Arial" w:cs="Arial"/>
          <w:color w:val="auto"/>
          <w:szCs w:val="22"/>
          <w:lang w:eastAsia="en-US"/>
        </w:rPr>
        <w:t>i.e.</w:t>
      </w:r>
      <w:proofErr w:type="gramEnd"/>
      <w:r w:rsidR="00D31B34">
        <w:rPr>
          <w:rFonts w:ascii="Arial" w:eastAsia="Times New Roman" w:hAnsi="Arial" w:cs="Arial"/>
          <w:color w:val="auto"/>
          <w:szCs w:val="22"/>
          <w:lang w:eastAsia="en-US"/>
        </w:rPr>
        <w:t xml:space="preserve"> it is engaging, accessible to a broad audience, and communicates data/information). </w:t>
      </w:r>
      <w:r>
        <w:rPr>
          <w:rFonts w:ascii="Arial" w:eastAsia="Times New Roman" w:hAnsi="Arial" w:cs="Arial"/>
          <w:color w:val="auto"/>
          <w:szCs w:val="22"/>
          <w:lang w:eastAsia="en-US"/>
        </w:rPr>
        <w:t xml:space="preserve"> </w:t>
      </w:r>
    </w:p>
    <w:p w14:paraId="4C29EDE4" w14:textId="77777777" w:rsidR="00944F6C" w:rsidRDefault="00944F6C" w:rsidP="00EB5967">
      <w:pPr>
        <w:spacing w:after="0"/>
        <w:rPr>
          <w:rFonts w:ascii="Arial" w:eastAsia="Times New Roman" w:hAnsi="Arial" w:cs="Arial"/>
          <w:color w:val="auto"/>
          <w:szCs w:val="22"/>
          <w:lang w:eastAsia="en-US"/>
        </w:rPr>
      </w:pPr>
    </w:p>
    <w:p w14:paraId="7281EB02" w14:textId="438E6F9B" w:rsidR="00944F6C" w:rsidRDefault="00944F6C" w:rsidP="00EB5967">
      <w:pPr>
        <w:spacing w:after="0"/>
        <w:rPr>
          <w:rFonts w:ascii="Arial" w:eastAsia="Times New Roman" w:hAnsi="Arial" w:cs="Arial"/>
          <w:color w:val="auto"/>
          <w:szCs w:val="22"/>
          <w:lang w:eastAsia="en-US"/>
        </w:rPr>
      </w:pPr>
      <w:r>
        <w:rPr>
          <w:rFonts w:ascii="Arial" w:eastAsia="Times New Roman" w:hAnsi="Arial" w:cs="Arial"/>
          <w:color w:val="auto"/>
          <w:szCs w:val="22"/>
          <w:lang w:eastAsia="en-US"/>
        </w:rPr>
        <w:t xml:space="preserve">For this in-class activity there will not be any quiz questions. Instead, you’ll be graded on a rubric of 1–3*: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1"/>
        <w:gridCol w:w="5251"/>
      </w:tblGrid>
      <w:tr w:rsidR="00944F6C" w14:paraId="7875D218" w14:textId="77777777" w:rsidTr="00944F6C">
        <w:tc>
          <w:tcPr>
            <w:tcW w:w="5251" w:type="dxa"/>
          </w:tcPr>
          <w:p w14:paraId="5437FA76" w14:textId="011BEA73" w:rsidR="00944F6C" w:rsidRDefault="00944F6C" w:rsidP="00EB5967">
            <w:pPr>
              <w:spacing w:after="0"/>
              <w:rPr>
                <w:rFonts w:ascii="Arial" w:eastAsia="Times New Roman" w:hAnsi="Arial" w:cs="Arial"/>
                <w:color w:val="auto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Cs w:val="22"/>
                <w:lang w:eastAsia="en-US"/>
              </w:rPr>
              <w:t>Points</w:t>
            </w:r>
          </w:p>
        </w:tc>
        <w:tc>
          <w:tcPr>
            <w:tcW w:w="5251" w:type="dxa"/>
          </w:tcPr>
          <w:p w14:paraId="6E962948" w14:textId="77777777" w:rsidR="00944F6C" w:rsidRDefault="00944F6C" w:rsidP="00EB5967">
            <w:pPr>
              <w:spacing w:after="0"/>
              <w:rPr>
                <w:rFonts w:ascii="Arial" w:eastAsia="Times New Roman" w:hAnsi="Arial" w:cs="Arial"/>
                <w:color w:val="auto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Cs w:val="22"/>
                <w:lang w:eastAsia="en-US"/>
              </w:rPr>
              <w:t>Criteria</w:t>
            </w:r>
          </w:p>
          <w:p w14:paraId="029064C0" w14:textId="2C26FBC9" w:rsidR="00A50FFA" w:rsidRDefault="00A50FFA" w:rsidP="00EB5967">
            <w:pPr>
              <w:spacing w:after="0"/>
              <w:rPr>
                <w:rFonts w:ascii="Arial" w:eastAsia="Times New Roman" w:hAnsi="Arial" w:cs="Arial"/>
                <w:color w:val="auto"/>
                <w:szCs w:val="22"/>
                <w:lang w:eastAsia="en-US"/>
              </w:rPr>
            </w:pPr>
          </w:p>
        </w:tc>
      </w:tr>
      <w:tr w:rsidR="00944F6C" w14:paraId="71706335" w14:textId="77777777" w:rsidTr="00944F6C">
        <w:tc>
          <w:tcPr>
            <w:tcW w:w="5251" w:type="dxa"/>
          </w:tcPr>
          <w:p w14:paraId="5B09D356" w14:textId="43D31FAB" w:rsidR="00944F6C" w:rsidRDefault="00944F6C" w:rsidP="00EB5967">
            <w:pPr>
              <w:spacing w:after="0"/>
              <w:rPr>
                <w:rFonts w:ascii="Arial" w:eastAsia="Times New Roman" w:hAnsi="Arial" w:cs="Arial"/>
                <w:color w:val="auto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Cs w:val="22"/>
                <w:lang w:eastAsia="en-US"/>
              </w:rPr>
              <w:t>3</w:t>
            </w:r>
          </w:p>
        </w:tc>
        <w:tc>
          <w:tcPr>
            <w:tcW w:w="5251" w:type="dxa"/>
          </w:tcPr>
          <w:p w14:paraId="3740B69F" w14:textId="77777777" w:rsidR="00A50FFA" w:rsidRDefault="00944F6C" w:rsidP="00EB5967">
            <w:pPr>
              <w:spacing w:after="0"/>
              <w:rPr>
                <w:rFonts w:ascii="Arial" w:eastAsia="Times New Roman" w:hAnsi="Arial" w:cs="Arial"/>
                <w:color w:val="auto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Cs w:val="22"/>
                <w:lang w:eastAsia="en-US"/>
              </w:rPr>
              <w:t xml:space="preserve">Visualization sketch is polished, creative, engaging, and appropriate for a broad audience.  </w:t>
            </w:r>
          </w:p>
          <w:p w14:paraId="22FD7B50" w14:textId="3D85209B" w:rsidR="00A50FFA" w:rsidRDefault="00A50FFA" w:rsidP="00EB5967">
            <w:pPr>
              <w:spacing w:after="0"/>
              <w:rPr>
                <w:rFonts w:ascii="Arial" w:eastAsia="Times New Roman" w:hAnsi="Arial" w:cs="Arial"/>
                <w:color w:val="auto"/>
                <w:szCs w:val="22"/>
                <w:lang w:eastAsia="en-US"/>
              </w:rPr>
            </w:pPr>
          </w:p>
        </w:tc>
      </w:tr>
      <w:tr w:rsidR="00944F6C" w14:paraId="305F232E" w14:textId="77777777" w:rsidTr="00944F6C">
        <w:tc>
          <w:tcPr>
            <w:tcW w:w="5251" w:type="dxa"/>
          </w:tcPr>
          <w:p w14:paraId="7F9ADC77" w14:textId="1572C0DC" w:rsidR="00944F6C" w:rsidRDefault="00944F6C" w:rsidP="00EB5967">
            <w:pPr>
              <w:spacing w:after="0"/>
              <w:rPr>
                <w:rFonts w:ascii="Arial" w:eastAsia="Times New Roman" w:hAnsi="Arial" w:cs="Arial"/>
                <w:color w:val="auto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Cs w:val="22"/>
                <w:lang w:eastAsia="en-US"/>
              </w:rPr>
              <w:t>2</w:t>
            </w:r>
          </w:p>
        </w:tc>
        <w:tc>
          <w:tcPr>
            <w:tcW w:w="5251" w:type="dxa"/>
          </w:tcPr>
          <w:p w14:paraId="0F0D0934" w14:textId="4A5C52FE" w:rsidR="00A50FFA" w:rsidRDefault="00944F6C" w:rsidP="00EB5967">
            <w:pPr>
              <w:spacing w:after="0"/>
              <w:rPr>
                <w:rFonts w:ascii="Arial" w:eastAsia="Times New Roman" w:hAnsi="Arial" w:cs="Arial"/>
                <w:color w:val="auto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Cs w:val="22"/>
                <w:lang w:eastAsia="en-US"/>
              </w:rPr>
              <w:t xml:space="preserve">Visualization sketch needs some minor adjustments to make it fully polished, creative, engaging, and appropriate for a broad audience. </w:t>
            </w:r>
          </w:p>
          <w:p w14:paraId="7308B6F1" w14:textId="61A4EC60" w:rsidR="00944F6C" w:rsidRDefault="00944F6C" w:rsidP="00EB5967">
            <w:pPr>
              <w:spacing w:after="0"/>
              <w:rPr>
                <w:rFonts w:ascii="Arial" w:eastAsia="Times New Roman" w:hAnsi="Arial" w:cs="Arial"/>
                <w:color w:val="auto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Cs w:val="22"/>
                <w:lang w:eastAsia="en-US"/>
              </w:rPr>
              <w:t xml:space="preserve"> </w:t>
            </w:r>
          </w:p>
        </w:tc>
      </w:tr>
      <w:tr w:rsidR="00944F6C" w14:paraId="2F4AD5C1" w14:textId="77777777" w:rsidTr="00944F6C">
        <w:tc>
          <w:tcPr>
            <w:tcW w:w="5251" w:type="dxa"/>
          </w:tcPr>
          <w:p w14:paraId="4CD55747" w14:textId="6E5D7450" w:rsidR="00944F6C" w:rsidRDefault="00944F6C" w:rsidP="00EB5967">
            <w:pPr>
              <w:spacing w:after="0"/>
              <w:rPr>
                <w:rFonts w:ascii="Arial" w:eastAsia="Times New Roman" w:hAnsi="Arial" w:cs="Arial"/>
                <w:color w:val="auto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Cs w:val="22"/>
                <w:lang w:eastAsia="en-US"/>
              </w:rPr>
              <w:t>1</w:t>
            </w:r>
          </w:p>
        </w:tc>
        <w:tc>
          <w:tcPr>
            <w:tcW w:w="5251" w:type="dxa"/>
          </w:tcPr>
          <w:p w14:paraId="22AEEF81" w14:textId="77777777" w:rsidR="00944F6C" w:rsidRDefault="00944F6C" w:rsidP="00EB5967">
            <w:pPr>
              <w:spacing w:after="0"/>
              <w:rPr>
                <w:rFonts w:ascii="Arial" w:eastAsia="Times New Roman" w:hAnsi="Arial" w:cs="Arial"/>
                <w:color w:val="auto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Cs w:val="22"/>
                <w:lang w:eastAsia="en-US"/>
              </w:rPr>
              <w:t xml:space="preserve">Visualization sketch is submitted, but difficult to read and does not show a visualization for communication. </w:t>
            </w:r>
          </w:p>
          <w:p w14:paraId="2F822825" w14:textId="0226B9B4" w:rsidR="00A50FFA" w:rsidRDefault="00A50FFA" w:rsidP="00EB5967">
            <w:pPr>
              <w:spacing w:after="0"/>
              <w:rPr>
                <w:rFonts w:ascii="Arial" w:eastAsia="Times New Roman" w:hAnsi="Arial" w:cs="Arial"/>
                <w:color w:val="auto"/>
                <w:szCs w:val="22"/>
                <w:lang w:eastAsia="en-US"/>
              </w:rPr>
            </w:pPr>
          </w:p>
        </w:tc>
      </w:tr>
    </w:tbl>
    <w:p w14:paraId="37D4A034" w14:textId="6538DBF2" w:rsidR="00944F6C" w:rsidRPr="00944F6C" w:rsidRDefault="00944F6C" w:rsidP="00944F6C">
      <w:pPr>
        <w:pStyle w:val="ListParagraph"/>
        <w:spacing w:after="0"/>
        <w:ind w:left="0"/>
        <w:rPr>
          <w:rFonts w:ascii="Arial" w:eastAsia="Times New Roman" w:hAnsi="Arial" w:cs="Arial"/>
          <w:color w:val="auto"/>
          <w:szCs w:val="22"/>
          <w:lang w:eastAsia="en-US"/>
        </w:rPr>
      </w:pPr>
      <w:r>
        <w:rPr>
          <w:rFonts w:ascii="Arial" w:eastAsia="Times New Roman" w:hAnsi="Arial" w:cs="Arial"/>
          <w:color w:val="auto"/>
          <w:szCs w:val="22"/>
          <w:lang w:eastAsia="en-US"/>
        </w:rPr>
        <w:t>*</w:t>
      </w:r>
      <w:proofErr w:type="gramStart"/>
      <w:r>
        <w:rPr>
          <w:rFonts w:ascii="Arial" w:eastAsia="Times New Roman" w:hAnsi="Arial" w:cs="Arial"/>
          <w:color w:val="auto"/>
          <w:szCs w:val="22"/>
          <w:lang w:eastAsia="en-US"/>
        </w:rPr>
        <w:t>exceptionally</w:t>
      </w:r>
      <w:proofErr w:type="gramEnd"/>
      <w:r>
        <w:rPr>
          <w:rFonts w:ascii="Arial" w:eastAsia="Times New Roman" w:hAnsi="Arial" w:cs="Arial"/>
          <w:color w:val="auto"/>
          <w:szCs w:val="22"/>
          <w:lang w:eastAsia="en-US"/>
        </w:rPr>
        <w:t xml:space="preserve"> creative and well done designs may earn an extra bonus point. </w:t>
      </w:r>
    </w:p>
    <w:p w14:paraId="6C973713" w14:textId="32AE71A5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677B6AA6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ic-</w:t>
      </w:r>
      <w:r w:rsidR="00AE066F">
        <w:t>1</w:t>
      </w:r>
      <w:r w:rsidR="00944F6C">
        <w:t>2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8810B" w14:textId="77777777" w:rsidR="00DC3871" w:rsidRDefault="00DC3871">
      <w:pPr>
        <w:spacing w:after="0"/>
      </w:pPr>
      <w:r>
        <w:separator/>
      </w:r>
    </w:p>
  </w:endnote>
  <w:endnote w:type="continuationSeparator" w:id="0">
    <w:p w14:paraId="7FA6D51A" w14:textId="77777777" w:rsidR="00DC3871" w:rsidRDefault="00DC38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7573E" w14:textId="77777777" w:rsidR="00DC3871" w:rsidRDefault="00DC3871">
      <w:pPr>
        <w:spacing w:after="0"/>
      </w:pPr>
      <w:r>
        <w:separator/>
      </w:r>
    </w:p>
  </w:footnote>
  <w:footnote w:type="continuationSeparator" w:id="0">
    <w:p w14:paraId="5E1E6297" w14:textId="77777777" w:rsidR="00DC3871" w:rsidRDefault="00DC38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77E41"/>
    <w:multiLevelType w:val="hybridMultilevel"/>
    <w:tmpl w:val="91EED628"/>
    <w:lvl w:ilvl="0" w:tplc="4384AD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5"/>
  </w:num>
  <w:num w:numId="17" w16cid:durableId="1902868490">
    <w:abstractNumId w:val="12"/>
  </w:num>
  <w:num w:numId="18" w16cid:durableId="1586375576">
    <w:abstractNumId w:val="13"/>
  </w:num>
  <w:num w:numId="19" w16cid:durableId="1840195209">
    <w:abstractNumId w:val="14"/>
  </w:num>
  <w:num w:numId="20" w16cid:durableId="14485454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67AFD"/>
    <w:rsid w:val="00071BEB"/>
    <w:rsid w:val="000A48DD"/>
    <w:rsid w:val="000A66FD"/>
    <w:rsid w:val="00120CAA"/>
    <w:rsid w:val="001365C0"/>
    <w:rsid w:val="001663BA"/>
    <w:rsid w:val="001925E9"/>
    <w:rsid w:val="00193420"/>
    <w:rsid w:val="00273500"/>
    <w:rsid w:val="00290AF8"/>
    <w:rsid w:val="002962A6"/>
    <w:rsid w:val="00324210"/>
    <w:rsid w:val="00383625"/>
    <w:rsid w:val="003F31CF"/>
    <w:rsid w:val="003F401B"/>
    <w:rsid w:val="004F342B"/>
    <w:rsid w:val="00524388"/>
    <w:rsid w:val="005F25D0"/>
    <w:rsid w:val="00683682"/>
    <w:rsid w:val="006F11CD"/>
    <w:rsid w:val="006F7BF5"/>
    <w:rsid w:val="00782BC6"/>
    <w:rsid w:val="007C3094"/>
    <w:rsid w:val="008670D6"/>
    <w:rsid w:val="0088633A"/>
    <w:rsid w:val="008A43D5"/>
    <w:rsid w:val="00906D6F"/>
    <w:rsid w:val="00914BA3"/>
    <w:rsid w:val="00944F6C"/>
    <w:rsid w:val="009D5712"/>
    <w:rsid w:val="00A26FA0"/>
    <w:rsid w:val="00A50FFA"/>
    <w:rsid w:val="00AD3E67"/>
    <w:rsid w:val="00AE066F"/>
    <w:rsid w:val="00B02104"/>
    <w:rsid w:val="00B66A54"/>
    <w:rsid w:val="00BA3846"/>
    <w:rsid w:val="00BB58E9"/>
    <w:rsid w:val="00C4798F"/>
    <w:rsid w:val="00C87A87"/>
    <w:rsid w:val="00D31B34"/>
    <w:rsid w:val="00DB05F7"/>
    <w:rsid w:val="00DC3871"/>
    <w:rsid w:val="00DE2668"/>
    <w:rsid w:val="00DF48B9"/>
    <w:rsid w:val="00E42350"/>
    <w:rsid w:val="00E73AC0"/>
    <w:rsid w:val="00EB5967"/>
    <w:rsid w:val="00EF29AD"/>
    <w:rsid w:val="00F3362A"/>
    <w:rsid w:val="00F34B6F"/>
    <w:rsid w:val="00F633A2"/>
    <w:rsid w:val="00FC35CC"/>
    <w:rsid w:val="00FE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1CD"/>
    <w:rPr>
      <w:color w:val="B26B02" w:themeColor="followedHyperlink"/>
      <w:u w:val="single"/>
    </w:rPr>
  </w:style>
  <w:style w:type="table" w:styleId="TableGrid">
    <w:name w:val="Table Grid"/>
    <w:basedOn w:val="TableNormal"/>
    <w:uiPriority w:val="39"/>
    <w:rsid w:val="00944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3</cp:revision>
  <dcterms:created xsi:type="dcterms:W3CDTF">2023-03-13T17:52:00Z</dcterms:created>
  <dcterms:modified xsi:type="dcterms:W3CDTF">2023-03-13T17:52:00Z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