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after="200" w:before="200" w:line="250.9085454545454" w:lineRule="auto"/>
        <w:jc w:val="center"/>
        <w:rPr/>
      </w:pPr>
      <w:bookmarkStart w:colFirst="0" w:colLast="0" w:name="_3e5g7kl502mo" w:id="0"/>
      <w:bookmarkEnd w:id="0"/>
      <w:r w:rsidDel="00000000" w:rsidR="00000000" w:rsidRPr="00000000">
        <w:rPr>
          <w:rtl w:val="0"/>
        </w:rPr>
        <w:t xml:space="preserve">Planned Software Architecture</w:t>
        <w:br w:type="textWrapping"/>
        <w:t xml:space="preserve">Voice Agent System</w:t>
      </w:r>
    </w:p>
    <w:p w:rsidR="00000000" w:rsidDel="00000000" w:rsidP="00000000" w:rsidRDefault="00000000" w:rsidRPr="00000000" w14:paraId="00000002">
      <w:pPr>
        <w:spacing w:after="200" w:before="200" w:line="250.9085454545454"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03">
      <w:pPr>
        <w:pStyle w:val="Heading2"/>
        <w:spacing w:after="200" w:before="200" w:line="250.9085454545454" w:lineRule="auto"/>
        <w:rPr/>
      </w:pPr>
      <w:bookmarkStart w:colFirst="0" w:colLast="0" w:name="_3rrl6lcsq60v" w:id="1"/>
      <w:bookmarkEnd w:id="1"/>
      <w:r w:rsidDel="00000000" w:rsidR="00000000" w:rsidRPr="00000000">
        <w:rPr>
          <w:rtl w:val="0"/>
        </w:rPr>
        <w:t xml:space="preserve">1. Runtime Components Overview</w:t>
      </w:r>
    </w:p>
    <w:p w:rsidR="00000000" w:rsidDel="00000000" w:rsidP="00000000" w:rsidRDefault="00000000" w:rsidRPr="00000000" w14:paraId="00000004">
      <w:pPr>
        <w:spacing w:after="200" w:before="200" w:line="250.9085454545454"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Pr>
        <w:drawing>
          <wp:inline distB="114300" distT="114300" distL="114300" distR="114300">
            <wp:extent cx="5943600" cy="2095500"/>
            <wp:effectExtent b="0" l="0" r="0" t="0"/>
            <wp:docPr id="3"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943600" cy="2095500"/>
                    </a:xfrm>
                    <a:prstGeom prst="rect"/>
                    <a:ln/>
                  </pic:spPr>
                </pic:pic>
              </a:graphicData>
            </a:graphic>
          </wp:inline>
        </w:drawing>
      </w:r>
      <w:r w:rsidDel="00000000" w:rsidR="00000000" w:rsidRPr="00000000">
        <w:rPr>
          <w:rtl w:val="0"/>
        </w:rPr>
      </w:r>
    </w:p>
    <w:p w:rsidR="00000000" w:rsidDel="00000000" w:rsidP="00000000" w:rsidRDefault="00000000" w:rsidRPr="00000000" w14:paraId="00000005">
      <w:pPr>
        <w:spacing w:after="200" w:before="200" w:line="250.9085454545454"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i w:val="1"/>
          <w:iCs w:val="1"/>
          <w:sz w:val="18"/>
          <w:szCs w:val="18"/>
          <w:rtl w:val="0"/>
        </w:rPr>
        <w:t xml:space="preserve">Figure 1. Runtime architecture overview of the planned voice agent system.</w:t>
      </w:r>
      <w:r w:rsidDel="00000000" w:rsidR="00000000" w:rsidRPr="00000000">
        <w:rPr>
          <w:rtl w:val="0"/>
        </w:rPr>
      </w:r>
    </w:p>
    <w:p w:rsidR="00000000" w:rsidDel="00000000" w:rsidP="00000000" w:rsidRDefault="00000000" w:rsidRPr="00000000" w14:paraId="00000006">
      <w:pPr>
        <w:spacing w:after="200" w:before="200" w:line="250.9085454545454" w:lineRule="auto"/>
        <w:rPr/>
      </w:pPr>
      <w:r w:rsidDel="00000000" w:rsidR="00000000" w:rsidRPr="00000000">
        <w:rPr>
          <w:rtl w:val="0"/>
        </w:rPr>
      </w:r>
    </w:p>
    <w:p w:rsidR="00000000" w:rsidDel="00000000" w:rsidP="00000000" w:rsidRDefault="00000000" w:rsidRPr="00000000" w14:paraId="00000007">
      <w:pPr>
        <w:pStyle w:val="Heading2"/>
        <w:spacing w:after="200" w:before="200" w:line="250.9085454545454" w:lineRule="auto"/>
        <w:rPr/>
      </w:pPr>
      <w:bookmarkStart w:colFirst="0" w:colLast="0" w:name="_koc4nw596y9z" w:id="2"/>
      <w:bookmarkEnd w:id="2"/>
      <w:r w:rsidDel="00000000" w:rsidR="00000000" w:rsidRPr="00000000">
        <w:rPr>
          <w:rtl w:val="0"/>
        </w:rPr>
        <w:t xml:space="preserve">2. Code Components Overview</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spacing w:after="200" w:before="200" w:line="250.9085454545454"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Purpose: </w:t>
      </w:r>
      <w:r w:rsidDel="00000000" w:rsidR="00000000" w:rsidRPr="00000000">
        <w:rPr>
          <w:rFonts w:ascii="Times New Roman" w:cs="Times New Roman" w:eastAsia="Times New Roman" w:hAnsi="Times New Roman"/>
          <w:sz w:val="20"/>
          <w:szCs w:val="20"/>
          <w:rtl w:val="0"/>
        </w:rPr>
        <w:t xml:space="preserve">Show the initial logical structure of the codebase and major dependency directions.</w:t>
      </w:r>
    </w:p>
    <w:p w:rsidR="00000000" w:rsidDel="00000000" w:rsidP="00000000" w:rsidRDefault="00000000" w:rsidRPr="00000000" w14:paraId="0000000A">
      <w:pPr>
        <w:spacing w:after="200" w:before="200" w:line="250.9085454545454"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Pr>
        <w:drawing>
          <wp:inline distB="114300" distT="114300" distL="114300" distR="114300">
            <wp:extent cx="6504619" cy="2162175"/>
            <wp:effectExtent b="0" l="0" r="0" t="0"/>
            <wp:docPr id="1" name="image2.png"/>
            <a:graphic>
              <a:graphicData uri="http://schemas.openxmlformats.org/drawingml/2006/picture">
                <pic:pic>
                  <pic:nvPicPr>
                    <pic:cNvPr id="0" name="image2.png"/>
                    <pic:cNvPicPr preferRelativeResize="0"/>
                  </pic:nvPicPr>
                  <pic:blipFill>
                    <a:blip r:embed="rId7"/>
                    <a:srcRect b="0" l="0" r="-1652" t="0"/>
                    <a:stretch>
                      <a:fillRect/>
                    </a:stretch>
                  </pic:blipFill>
                  <pic:spPr>
                    <a:xfrm>
                      <a:off x="0" y="0"/>
                      <a:ext cx="6504619" cy="2162175"/>
                    </a:xfrm>
                    <a:prstGeom prst="rect"/>
                    <a:ln/>
                  </pic:spPr>
                </pic:pic>
              </a:graphicData>
            </a:graphic>
          </wp:inline>
        </w:drawing>
      </w:r>
      <w:r w:rsidDel="00000000" w:rsidR="00000000" w:rsidRPr="00000000">
        <w:rPr>
          <w:rtl w:val="0"/>
        </w:rPr>
      </w:r>
    </w:p>
    <w:p w:rsidR="00000000" w:rsidDel="00000000" w:rsidP="00000000" w:rsidRDefault="00000000" w:rsidRPr="00000000" w14:paraId="0000000B">
      <w:pPr>
        <w:spacing w:after="200" w:before="200" w:line="250.9085454545454"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Figure 2. Logical code architecture and main dependencies.</w:t>
      </w:r>
    </w:p>
    <w:p w:rsidR="00000000" w:rsidDel="00000000" w:rsidP="00000000" w:rsidRDefault="00000000" w:rsidRPr="00000000" w14:paraId="0000000C">
      <w:pPr>
        <w:spacing w:after="200" w:before="200" w:line="250.9085454545454" w:lineRule="auto"/>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br w:type="textWrapping"/>
      </w:r>
    </w:p>
    <w:p w:rsidR="00000000" w:rsidDel="00000000" w:rsidP="00000000" w:rsidRDefault="00000000" w:rsidRPr="00000000" w14:paraId="0000000D">
      <w:pPr>
        <w:spacing w:after="200" w:before="200" w:line="250.9085454545454" w:lineRule="auto"/>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00E">
      <w:pPr>
        <w:spacing w:after="200" w:before="200" w:line="250.9085454545454" w:lineRule="auto"/>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00F">
      <w:pPr>
        <w:spacing w:after="200" w:before="200" w:line="250.9085454545454" w:lineRule="auto"/>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010">
      <w:pPr>
        <w:spacing w:after="200" w:before="200" w:line="250.9085454545454" w:lineRule="auto"/>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011">
      <w:pPr>
        <w:spacing w:after="200" w:before="200" w:line="250.9085454545454" w:lineRule="auto"/>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012">
      <w:pPr>
        <w:spacing w:after="200" w:before="200" w:line="250.9085454545454" w:lineRule="auto"/>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013">
      <w:pPr>
        <w:spacing w:after="200" w:before="200" w:line="250.9085454545454" w:lineRule="auto"/>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014">
      <w:pPr>
        <w:pStyle w:val="Heading2"/>
        <w:spacing w:after="200" w:before="200" w:line="250.9085454545454" w:lineRule="auto"/>
        <w:rPr>
          <w:b w:val="1"/>
          <w:bCs w:val="1"/>
          <w:sz w:val="30"/>
          <w:szCs w:val="30"/>
        </w:rPr>
      </w:pPr>
      <w:bookmarkStart w:colFirst="0" w:colLast="0" w:name="_t219mdeujk50" w:id="3"/>
      <w:bookmarkEnd w:id="3"/>
      <w:r w:rsidDel="00000000" w:rsidR="00000000" w:rsidRPr="00000000">
        <w:rPr>
          <w:sz w:val="20"/>
          <w:szCs w:val="20"/>
          <w:rtl w:val="0"/>
        </w:rPr>
        <w:br w:type="textWrapping"/>
      </w:r>
      <w:r w:rsidDel="00000000" w:rsidR="00000000" w:rsidRPr="00000000">
        <w:rPr>
          <w:b w:val="1"/>
          <w:bCs w:val="1"/>
          <w:sz w:val="30"/>
          <w:szCs w:val="30"/>
          <w:rtl w:val="0"/>
        </w:rPr>
        <w:t xml:space="preserve">3. Technology Stack Summary</w:t>
      </w:r>
    </w:p>
    <w:p w:rsidR="00000000" w:rsidDel="00000000" w:rsidP="00000000" w:rsidRDefault="00000000" w:rsidRPr="00000000" w14:paraId="00000015">
      <w:pPr>
        <w:rPr/>
      </w:pPr>
      <w:r w:rsidDel="00000000" w:rsidR="00000000" w:rsidRPr="00000000">
        <w:rPr>
          <w:rtl w:val="0"/>
        </w:rPr>
      </w:r>
    </w:p>
    <w:tbl>
      <w:tblPr>
        <w:tblStyle w:val="Table1"/>
        <w:tblW w:w="973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845"/>
        <w:gridCol w:w="2910"/>
        <w:gridCol w:w="4980"/>
        <w:tblGridChange w:id="0">
          <w:tblGrid>
            <w:gridCol w:w="1845"/>
            <w:gridCol w:w="2910"/>
            <w:gridCol w:w="4980"/>
          </w:tblGrid>
        </w:tblGridChange>
      </w:tblGrid>
      <w:tr>
        <w:trPr>
          <w:cantSplit w:val="0"/>
          <w:trHeight w:val="645.4336037375709"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16">
            <w:pPr>
              <w:spacing w:after="240" w:before="240" w:line="250.9085454545454" w:lineRule="auto"/>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Area</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17">
            <w:pPr>
              <w:spacing w:after="240" w:before="240" w:line="250.9085454545454" w:lineRule="auto"/>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Technology</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18">
            <w:pPr>
              <w:spacing w:after="240" w:before="240" w:line="250.9085454545454" w:lineRule="auto"/>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Role</w:t>
            </w:r>
          </w:p>
        </w:tc>
      </w:tr>
      <w:tr>
        <w:trPr>
          <w:cantSplit w:val="0"/>
          <w:trHeight w:val="780.8672074751419"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19">
            <w:pPr>
              <w:spacing w:after="0" w:before="0" w:line="250.9085454545454"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Frontend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1A">
            <w:pPr>
              <w:spacing w:after="0" w:before="0" w:line="250.9085454545454"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React.js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1B">
            <w:pPr>
              <w:spacing w:after="0" w:before="0" w:line="250.9085454545454"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Web UI and LiveKit client to maintain a conversation between the user and the agent</w:t>
            </w:r>
          </w:p>
        </w:tc>
      </w:tr>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1C">
            <w:pPr>
              <w:spacing w:after="0" w:before="0" w:line="250.9085454545454"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Backend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1D">
            <w:pPr>
              <w:spacing w:after="0" w:before="0" w:line="250.9085454545454"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Python </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1E">
            <w:pPr>
              <w:spacing w:after="0" w:before="0" w:line="250.9085454545454"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Main orchestration layer for voice pipeline, agent logic, extraction workflows, LLM integration,  API calls, and pipeline control</w:t>
            </w:r>
          </w:p>
        </w:tc>
      </w:tr>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1F">
            <w:pPr>
              <w:spacing w:after="0" w:before="0" w:line="250.9085454545454"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Voice Streaming/Audio Processing</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20">
            <w:pPr>
              <w:spacing w:after="0" w:before="0" w:line="250.9085454545454"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LiveKit + LiveKit Agents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21">
            <w:pPr>
              <w:spacing w:after="0" w:before="0" w:line="250.9085454545454"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Real-time audio communication between user and the agent</w:t>
              <w:br w:type="textWrapping"/>
              <w:t xml:space="preserve">Manages rooms, real-time audio transport, and agent-related media workflows</w:t>
              <w:br w:type="textWrapping"/>
              <w:t xml:space="preserve">An agent worker joins LiveKit rooms and runs the voice pipeline with STT, LLM, TTS, interruption/turn handling, and session control.</w:t>
            </w:r>
          </w:p>
        </w:tc>
      </w:tr>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22">
            <w:pPr>
              <w:spacing w:after="0" w:before="0" w:line="250.9085454545454"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Orchestration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23">
            <w:pPr>
              <w:spacing w:after="0" w:before="0" w:line="250.9085454545454"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JSON task definitions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24">
            <w:pPr>
              <w:spacing w:after="0" w:before="0" w:line="250.9085454545454"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Orchestration engine dynamically selects and executes task-specific prompts (Task switching)</w:t>
            </w:r>
          </w:p>
        </w:tc>
      </w:tr>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25">
            <w:pPr>
              <w:spacing w:after="0" w:before="0" w:line="250.9085454545454"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Agent/LLM</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26">
            <w:pPr>
              <w:spacing w:after="0" w:before="0" w:line="250.9085454545454"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Open AI model or Gemini</w:t>
            </w:r>
          </w:p>
          <w:p w:rsidR="00000000" w:rsidDel="00000000" w:rsidP="00000000" w:rsidRDefault="00000000" w:rsidRPr="00000000" w14:paraId="00000027">
            <w:pPr>
              <w:spacing w:after="0" w:before="0" w:line="250.9085454545454"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(to be decided by stakeholders)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28">
            <w:pPr>
              <w:spacing w:after="0" w:before="0" w:line="250.9085454545454"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Reasoning and response generation</w:t>
            </w:r>
          </w:p>
        </w:tc>
      </w:tr>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29">
            <w:pPr>
              <w:spacing w:after="0" w:before="0" w:line="250.9085454545454"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STT (Speech to Text)</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2A">
            <w:pPr>
              <w:spacing w:after="0" w:before="0" w:line="250.9085454545454"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Deepgram </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2B">
            <w:pPr>
              <w:spacing w:after="0" w:before="0" w:line="250.9085454545454"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Speech-to-text provider for converting user voice input into transcripts</w:t>
            </w:r>
          </w:p>
        </w:tc>
      </w:tr>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2C">
            <w:pPr>
              <w:spacing w:after="0" w:before="0" w:line="250.9085454545454"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TTS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2D">
            <w:pPr>
              <w:spacing w:after="0" w:before="0" w:line="250.9085454545454"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ElevenLabs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2E">
            <w:pPr>
              <w:spacing w:after="0" w:before="0" w:line="250.9085454545454"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Converts generated responses back to spoken output in the user's language.</w:t>
            </w:r>
          </w:p>
        </w:tc>
      </w:tr>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2F">
            <w:pPr>
              <w:spacing w:after="0" w:before="0" w:line="250.9085454545454"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Database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30">
            <w:pPr>
              <w:spacing w:after="0" w:before="0" w:line="250.9085454545454"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PostgreSQL</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31">
            <w:pPr>
              <w:spacing w:after="0" w:before="0" w:line="250.9085454545454"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Persistent storage for conversations, messages, agent traces, tool calls, confirmations, and execution history</w:t>
            </w:r>
          </w:p>
        </w:tc>
      </w:tr>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32">
            <w:pPr>
              <w:spacing w:after="0" w:before="0" w:line="250.9085454545454"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Cloud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33">
            <w:pPr>
              <w:spacing w:after="0" w:before="0" w:line="250.9085454545454"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Google Cloud Platform</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34">
            <w:pPr>
              <w:spacing w:after="0" w:before="0" w:line="250.9085454545454"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Deployment, scaling, database access</w:t>
            </w:r>
          </w:p>
        </w:tc>
      </w:tr>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35">
            <w:pPr>
              <w:spacing w:after="0" w:before="0" w:line="250.9085454545454"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Logging/Monitoring</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36">
            <w:pPr>
              <w:spacing w:after="0" w:before="0" w:line="250.9085454545454"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Pytest, Ruff/Black, Structured logging, Cypress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37">
            <w:pPr>
              <w:spacing w:after="0" w:before="0" w:line="250.9085454545454"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Debugging and reliability tracking</w:t>
            </w:r>
          </w:p>
          <w:p w:rsidR="00000000" w:rsidDel="00000000" w:rsidP="00000000" w:rsidRDefault="00000000" w:rsidRPr="00000000" w14:paraId="00000038">
            <w:pPr>
              <w:spacing w:after="0" w:before="0" w:line="250.9085454545454"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Testing, formatting, linting, and consistent logging for maintainability.</w:t>
            </w:r>
          </w:p>
        </w:tc>
      </w:tr>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39">
            <w:pPr>
              <w:spacing w:after="0" w:before="0" w:line="250.9085454545454"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Containerization </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3A">
            <w:pPr>
              <w:spacing w:after="0" w:before="0" w:line="250.9085454545454"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Docker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3B">
            <w:pPr>
              <w:spacing w:after="0" w:before="0" w:line="250.9085454545454"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Create a portable for each unit that can run on any system and its relevant service.</w:t>
            </w:r>
          </w:p>
        </w:tc>
      </w:tr>
    </w:tbl>
    <w:p w:rsidR="00000000" w:rsidDel="00000000" w:rsidP="00000000" w:rsidRDefault="00000000" w:rsidRPr="00000000" w14:paraId="0000003C">
      <w:pPr>
        <w:pStyle w:val="Heading2"/>
        <w:spacing w:after="200" w:before="200" w:line="250.9085454545454" w:lineRule="auto"/>
        <w:rPr>
          <w:rFonts w:ascii="Times New Roman" w:cs="Times New Roman" w:eastAsia="Times New Roman" w:hAnsi="Times New Roman"/>
          <w:sz w:val="20"/>
          <w:szCs w:val="20"/>
        </w:rPr>
      </w:pPr>
      <w:bookmarkStart w:colFirst="0" w:colLast="0" w:name="_67e4f8egjytl" w:id="4"/>
      <w:bookmarkEnd w:id="4"/>
      <w:r w:rsidDel="00000000" w:rsidR="00000000" w:rsidRPr="00000000">
        <w:rPr>
          <w:rtl w:val="0"/>
        </w:rPr>
        <w:t xml:space="preserve">4. Textual Explanation and Key Decisions</w:t>
      </w:r>
      <w:r w:rsidDel="00000000" w:rsidR="00000000" w:rsidRPr="00000000">
        <w:rPr>
          <w:rtl w:val="0"/>
        </w:rPr>
      </w:r>
    </w:p>
    <w:p w:rsidR="00000000" w:rsidDel="00000000" w:rsidP="00000000" w:rsidRDefault="00000000" w:rsidRPr="00000000" w14:paraId="0000003D">
      <w:pPr>
        <w:pStyle w:val="Heading3"/>
        <w:keepNext w:val="0"/>
        <w:keepLines w:val="0"/>
        <w:spacing w:line="250.9085454545454" w:lineRule="auto"/>
        <w:rPr/>
      </w:pPr>
      <w:bookmarkStart w:colFirst="0" w:colLast="0" w:name="_3ea9u086quy8" w:id="5"/>
      <w:bookmarkEnd w:id="5"/>
      <w:r w:rsidDel="00000000" w:rsidR="00000000" w:rsidRPr="00000000">
        <w:rPr>
          <w:rtl w:val="0"/>
        </w:rPr>
        <w:t xml:space="preserve">4.1 Architecture Overview</w:t>
      </w:r>
    </w:p>
    <w:p w:rsidR="00000000" w:rsidDel="00000000" w:rsidP="00000000" w:rsidRDefault="00000000" w:rsidRPr="00000000" w14:paraId="0000003E">
      <w:pPr>
        <w:spacing w:after="240" w:before="240" w:line="250.9085454545454" w:lineRule="auto"/>
        <w:rPr>
          <w:rFonts w:ascii="Times New Roman" w:cs="Times New Roman" w:eastAsia="Times New Roman" w:hAnsi="Times New Roman"/>
          <w:b w:val="1"/>
          <w:bCs w:val="1"/>
          <w:sz w:val="20"/>
          <w:szCs w:val="20"/>
        </w:rPr>
      </w:pPr>
      <w:r w:rsidDel="00000000" w:rsidR="00000000" w:rsidRPr="00000000">
        <w:rPr>
          <w:rFonts w:ascii="Cardo" w:cs="Cardo" w:eastAsia="Cardo" w:hAnsi="Cardo"/>
          <w:b w:val="1"/>
          <w:bCs w:val="1"/>
          <w:sz w:val="20"/>
          <w:szCs w:val="20"/>
          <w:rtl w:val="0"/>
        </w:rPr>
        <w:t xml:space="preserve">Speech-to-Text (STT) → Agent (Orchestration Engine) → Text-to-Speech (TTS)</w:t>
      </w:r>
    </w:p>
    <w:p w:rsidR="00000000" w:rsidDel="00000000" w:rsidP="00000000" w:rsidRDefault="00000000" w:rsidRPr="00000000" w14:paraId="0000003F">
      <w:pPr>
        <w:numPr>
          <w:ilvl w:val="0"/>
          <w:numId w:val="1"/>
        </w:numPr>
        <w:spacing w:after="0" w:afterAutospacing="0" w:before="240" w:line="250.9085454545454" w:lineRule="auto"/>
        <w:ind w:left="720" w:hanging="360"/>
        <w:rPr>
          <w:color w:val="000000"/>
          <w:sz w:val="22"/>
          <w:szCs w:val="22"/>
        </w:rPr>
      </w:pPr>
      <w:r w:rsidDel="00000000" w:rsidR="00000000" w:rsidRPr="00000000">
        <w:rPr>
          <w:rFonts w:ascii="Times New Roman" w:cs="Times New Roman" w:eastAsia="Times New Roman" w:hAnsi="Times New Roman"/>
          <w:sz w:val="20"/>
          <w:szCs w:val="20"/>
          <w:rtl w:val="0"/>
        </w:rPr>
        <w:t xml:space="preserve">The system is a real-time, voice-enabled AI platform where users interact through a web application connected via LiveKit for low-latency audio streaming and communication.</w:t>
      </w:r>
    </w:p>
    <w:p w:rsidR="00000000" w:rsidDel="00000000" w:rsidP="00000000" w:rsidRDefault="00000000" w:rsidRPr="00000000" w14:paraId="00000040">
      <w:pPr>
        <w:numPr>
          <w:ilvl w:val="0"/>
          <w:numId w:val="1"/>
        </w:numPr>
        <w:spacing w:after="0" w:afterAutospacing="0" w:before="0" w:beforeAutospacing="0" w:line="250.9085454545454"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User audio is captured via the React frontend and streamed using LiveKit. This text is then processed by the backend agent, implemented in Python, which generates a response using an LLM. </w:t>
      </w:r>
    </w:p>
    <w:p w:rsidR="00000000" w:rsidDel="00000000" w:rsidP="00000000" w:rsidRDefault="00000000" w:rsidRPr="00000000" w14:paraId="00000041">
      <w:pPr>
        <w:numPr>
          <w:ilvl w:val="0"/>
          <w:numId w:val="1"/>
        </w:numPr>
        <w:spacing w:after="0" w:afterAutospacing="0" w:before="0" w:beforeAutospacing="0" w:line="250.9085454545454" w:lineRule="auto"/>
        <w:ind w:left="720" w:hanging="360"/>
        <w:rPr>
          <w:color w:val="000000"/>
          <w:sz w:val="22"/>
          <w:szCs w:val="22"/>
        </w:rPr>
      </w:pPr>
      <w:r w:rsidDel="00000000" w:rsidR="00000000" w:rsidRPr="00000000">
        <w:rPr>
          <w:rFonts w:ascii="Times New Roman" w:cs="Times New Roman" w:eastAsia="Times New Roman" w:hAnsi="Times New Roman"/>
          <w:sz w:val="20"/>
          <w:szCs w:val="20"/>
          <w:rtl w:val="0"/>
        </w:rPr>
        <w:t xml:space="preserve">User speech is processed in a Python backend runtime, where:</w:t>
      </w:r>
    </w:p>
    <w:p w:rsidR="00000000" w:rsidDel="00000000" w:rsidP="00000000" w:rsidRDefault="00000000" w:rsidRPr="00000000" w14:paraId="00000042">
      <w:pPr>
        <w:numPr>
          <w:ilvl w:val="1"/>
          <w:numId w:val="1"/>
        </w:numPr>
        <w:spacing w:after="0" w:afterAutospacing="0" w:before="0" w:beforeAutospacing="0" w:line="250.9085454545454" w:lineRule="auto"/>
        <w:ind w:left="1440" w:hanging="360"/>
        <w:rPr>
          <w:color w:val="000000"/>
          <w:sz w:val="22"/>
          <w:szCs w:val="22"/>
        </w:rPr>
      </w:pPr>
      <w:r w:rsidDel="00000000" w:rsidR="00000000" w:rsidRPr="00000000">
        <w:rPr>
          <w:rFonts w:ascii="Times New Roman" w:cs="Times New Roman" w:eastAsia="Times New Roman" w:hAnsi="Times New Roman"/>
          <w:sz w:val="20"/>
          <w:szCs w:val="20"/>
          <w:rtl w:val="0"/>
        </w:rPr>
        <w:t xml:space="preserve">Audio is converted to text using a Speech-to-Text (STT) service (using Deepgram)</w:t>
      </w:r>
    </w:p>
    <w:p w:rsidR="00000000" w:rsidDel="00000000" w:rsidP="00000000" w:rsidRDefault="00000000" w:rsidRPr="00000000" w14:paraId="00000043">
      <w:pPr>
        <w:numPr>
          <w:ilvl w:val="1"/>
          <w:numId w:val="1"/>
        </w:numPr>
        <w:spacing w:after="0" w:afterAutospacing="0" w:before="0" w:beforeAutospacing="0" w:line="250.9085454545454" w:lineRule="auto"/>
        <w:ind w:left="1440" w:hanging="360"/>
        <w:rPr>
          <w:color w:val="000000"/>
          <w:sz w:val="22"/>
          <w:szCs w:val="22"/>
        </w:rPr>
      </w:pPr>
      <w:r w:rsidDel="00000000" w:rsidR="00000000" w:rsidRPr="00000000">
        <w:rPr>
          <w:rFonts w:ascii="Times New Roman" w:cs="Times New Roman" w:eastAsia="Times New Roman" w:hAnsi="Times New Roman"/>
          <w:sz w:val="20"/>
          <w:szCs w:val="20"/>
          <w:rtl w:val="0"/>
        </w:rPr>
        <w:t xml:space="preserve">A central Agent Router / Orchestrator interprets the input using an LLM, plans multi-step workflows, and manages confirmations and control flow</w:t>
      </w:r>
    </w:p>
    <w:p w:rsidR="00000000" w:rsidDel="00000000" w:rsidP="00000000" w:rsidRDefault="00000000" w:rsidRPr="00000000" w14:paraId="00000044">
      <w:pPr>
        <w:numPr>
          <w:ilvl w:val="0"/>
          <w:numId w:val="1"/>
        </w:numPr>
        <w:spacing w:after="0" w:afterAutospacing="0" w:before="0" w:beforeAutospacing="0" w:line="250.9085454545454" w:lineRule="auto"/>
        <w:ind w:left="720" w:hanging="360"/>
        <w:rPr>
          <w:color w:val="000000"/>
          <w:sz w:val="22"/>
          <w:szCs w:val="22"/>
        </w:rPr>
      </w:pPr>
      <w:r w:rsidDel="00000000" w:rsidR="00000000" w:rsidRPr="00000000">
        <w:rPr>
          <w:rFonts w:ascii="Times New Roman" w:cs="Times New Roman" w:eastAsia="Times New Roman" w:hAnsi="Times New Roman"/>
          <w:sz w:val="20"/>
          <w:szCs w:val="20"/>
          <w:rtl w:val="0"/>
        </w:rPr>
        <w:t xml:space="preserve">The orchestrator delegates tasks to a pool of specialized agents (e.g., greeting, data extraction, handoff), enabling modular and concurrent task execution</w:t>
      </w:r>
    </w:p>
    <w:p w:rsidR="00000000" w:rsidDel="00000000" w:rsidP="00000000" w:rsidRDefault="00000000" w:rsidRPr="00000000" w14:paraId="00000045">
      <w:pPr>
        <w:numPr>
          <w:ilvl w:val="0"/>
          <w:numId w:val="1"/>
        </w:numPr>
        <w:spacing w:after="0" w:afterAutospacing="0" w:before="0" w:beforeAutospacing="0" w:line="250.9085454545454" w:lineRule="auto"/>
        <w:ind w:left="720" w:hanging="360"/>
        <w:rPr>
          <w:color w:val="000000"/>
          <w:sz w:val="22"/>
          <w:szCs w:val="22"/>
        </w:rPr>
      </w:pPr>
      <w:r w:rsidDel="00000000" w:rsidR="00000000" w:rsidRPr="00000000">
        <w:rPr>
          <w:rFonts w:ascii="Times New Roman" w:cs="Times New Roman" w:eastAsia="Times New Roman" w:hAnsi="Times New Roman"/>
          <w:sz w:val="20"/>
          <w:szCs w:val="20"/>
          <w:rtl w:val="0"/>
        </w:rPr>
        <w:t xml:space="preserve">For external actions, the system uses a Tool / Integration Layer to call APIs (e.g., Meisterwerk services) and other external systems, returning structured results back to the orchestrator</w:t>
      </w:r>
    </w:p>
    <w:p w:rsidR="00000000" w:rsidDel="00000000" w:rsidP="00000000" w:rsidRDefault="00000000" w:rsidRPr="00000000" w14:paraId="00000046">
      <w:pPr>
        <w:numPr>
          <w:ilvl w:val="0"/>
          <w:numId w:val="1"/>
        </w:numPr>
        <w:spacing w:after="0" w:afterAutospacing="0" w:before="0" w:beforeAutospacing="0" w:line="250.9085454545454" w:lineRule="auto"/>
        <w:ind w:left="720" w:hanging="360"/>
        <w:rPr>
          <w:color w:val="000000"/>
          <w:sz w:val="22"/>
          <w:szCs w:val="22"/>
        </w:rPr>
      </w:pPr>
      <w:r w:rsidDel="00000000" w:rsidR="00000000" w:rsidRPr="00000000">
        <w:rPr>
          <w:rFonts w:ascii="Times New Roman" w:cs="Times New Roman" w:eastAsia="Times New Roman" w:hAnsi="Times New Roman"/>
          <w:sz w:val="20"/>
          <w:szCs w:val="20"/>
          <w:rtl w:val="0"/>
        </w:rPr>
        <w:t xml:space="preserve">The final response is generated, converted into speech using a Text-to-Speech (TTS) service (using ElevenLabs), and streamed back to the user through LiveKit</w:t>
      </w:r>
    </w:p>
    <w:p w:rsidR="00000000" w:rsidDel="00000000" w:rsidP="00000000" w:rsidRDefault="00000000" w:rsidRPr="00000000" w14:paraId="00000047">
      <w:pPr>
        <w:numPr>
          <w:ilvl w:val="0"/>
          <w:numId w:val="1"/>
        </w:numPr>
        <w:spacing w:after="0" w:afterAutospacing="0" w:before="0" w:beforeAutospacing="0" w:line="250.9085454545454" w:lineRule="auto"/>
        <w:ind w:left="720" w:hanging="360"/>
        <w:rPr>
          <w:color w:val="000000"/>
          <w:sz w:val="22"/>
          <w:szCs w:val="22"/>
        </w:rPr>
      </w:pPr>
      <w:r w:rsidDel="00000000" w:rsidR="00000000" w:rsidRPr="00000000">
        <w:rPr>
          <w:rFonts w:ascii="Times New Roman" w:cs="Times New Roman" w:eastAsia="Times New Roman" w:hAnsi="Times New Roman"/>
          <w:sz w:val="20"/>
          <w:szCs w:val="20"/>
          <w:rtl w:val="0"/>
        </w:rPr>
        <w:t xml:space="preserve">The system maintains state and context in a PostgreSQL database, storing chat history, agent traces, tool calls, confirmations, and logs for continuity and traceability</w:t>
      </w:r>
    </w:p>
    <w:p w:rsidR="00000000" w:rsidDel="00000000" w:rsidP="00000000" w:rsidRDefault="00000000" w:rsidRPr="00000000" w14:paraId="00000048">
      <w:pPr>
        <w:numPr>
          <w:ilvl w:val="0"/>
          <w:numId w:val="1"/>
        </w:numPr>
        <w:spacing w:after="240" w:before="0" w:beforeAutospacing="0" w:line="250.9085454545454" w:lineRule="auto"/>
        <w:ind w:left="720" w:hanging="360"/>
        <w:rPr>
          <w:color w:val="000000"/>
          <w:sz w:val="22"/>
          <w:szCs w:val="22"/>
        </w:rPr>
      </w:pPr>
      <w:r w:rsidDel="00000000" w:rsidR="00000000" w:rsidRPr="00000000">
        <w:rPr>
          <w:rFonts w:ascii="Times New Roman" w:cs="Times New Roman" w:eastAsia="Times New Roman" w:hAnsi="Times New Roman"/>
          <w:sz w:val="20"/>
          <w:szCs w:val="20"/>
          <w:rtl w:val="0"/>
        </w:rPr>
        <w:t xml:space="preserve">Logging Service captures runtime events, pipeline activity, and errors (STT, TTS, tool calls), ensuring observability and debugging capabilities</w:t>
      </w:r>
      <w:r w:rsidDel="00000000" w:rsidR="00000000" w:rsidRPr="00000000">
        <w:rPr>
          <w:rtl w:val="0"/>
        </w:rPr>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rHeight w:val="1101.2113790616118"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9">
            <w:pPr>
              <w:pStyle w:val="Heading5"/>
              <w:keepNext w:val="0"/>
              <w:keepLines w:val="0"/>
              <w:spacing w:after="0" w:before="0" w:line="250.9085454545454" w:lineRule="auto"/>
              <w:rPr>
                <w:rFonts w:ascii="Times New Roman" w:cs="Times New Roman" w:eastAsia="Times New Roman" w:hAnsi="Times New Roman"/>
                <w:sz w:val="20"/>
                <w:szCs w:val="20"/>
              </w:rPr>
            </w:pPr>
            <w:bookmarkStart w:colFirst="0" w:colLast="0" w:name="_lm2d3qix1nxx" w:id="6"/>
            <w:bookmarkEnd w:id="6"/>
            <w:r w:rsidDel="00000000" w:rsidR="00000000" w:rsidRPr="00000000">
              <w:rPr>
                <w:rFonts w:ascii="Times New Roman" w:cs="Times New Roman" w:eastAsia="Times New Roman" w:hAnsi="Times New Roman"/>
                <w:color w:val="000000"/>
                <w:rtl w:val="0"/>
              </w:rPr>
              <w:t xml:space="preserve">Task-Based Orchestration: </w:t>
            </w:r>
            <w:r w:rsidDel="00000000" w:rsidR="00000000" w:rsidRPr="00000000">
              <w:rPr>
                <w:rFonts w:ascii="Times New Roman" w:cs="Times New Roman" w:eastAsia="Times New Roman" w:hAnsi="Times New Roman"/>
                <w:sz w:val="20"/>
                <w:szCs w:val="20"/>
                <w:rtl w:val="0"/>
              </w:rPr>
              <w:t xml:space="preserve">Instead of relying on large system prompts, the system uses JSON-based task definitions. Each task defines a specific goal, required inputs, and completion conditions. The orchestration engine dynamically selects tasks, manages workflow progression, and routes conversations to appropriate agents. All actions require explicit user confirmation, and external interactions are handled through centralized adapters.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A">
            <w:pPr>
              <w:pStyle w:val="Heading5"/>
              <w:keepNext w:val="0"/>
              <w:keepLines w:val="0"/>
              <w:spacing w:after="0" w:before="0" w:line="250.9085454545454" w:lineRule="auto"/>
              <w:rPr>
                <w:rFonts w:ascii="Times New Roman" w:cs="Times New Roman" w:eastAsia="Times New Roman" w:hAnsi="Times New Roman"/>
                <w:sz w:val="20"/>
                <w:szCs w:val="20"/>
              </w:rPr>
            </w:pPr>
            <w:bookmarkStart w:colFirst="0" w:colLast="0" w:name="_3twym4cuho3t" w:id="7"/>
            <w:bookmarkEnd w:id="7"/>
            <w:r w:rsidDel="00000000" w:rsidR="00000000" w:rsidRPr="00000000">
              <w:rPr>
                <w:rFonts w:ascii="Times New Roman" w:cs="Times New Roman" w:eastAsia="Times New Roman" w:hAnsi="Times New Roman"/>
                <w:color w:val="000000"/>
                <w:rtl w:val="0"/>
              </w:rPr>
              <w:t xml:space="preserve">Configurable AI Pipeline: </w:t>
            </w:r>
            <w:r w:rsidDel="00000000" w:rsidR="00000000" w:rsidRPr="00000000">
              <w:rPr>
                <w:rFonts w:ascii="Times New Roman" w:cs="Times New Roman" w:eastAsia="Times New Roman" w:hAnsi="Times New Roman"/>
                <w:sz w:val="20"/>
                <w:szCs w:val="20"/>
                <w:rtl w:val="0"/>
              </w:rPr>
              <w:t xml:space="preserve">A JSON configuration layer defines the providers used for STT (Deepgram), LLM (e.g., OpenAI or Gemini), and TTS (ElevenLabs). This abstraction allows easy switching of models and supports experimentation without changing core logic.</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B">
            <w:pPr>
              <w:pStyle w:val="Heading5"/>
              <w:keepNext w:val="0"/>
              <w:keepLines w:val="0"/>
              <w:spacing w:after="0" w:before="0" w:line="250.9085454545454" w:lineRule="auto"/>
              <w:rPr>
                <w:rFonts w:ascii="Times New Roman" w:cs="Times New Roman" w:eastAsia="Times New Roman" w:hAnsi="Times New Roman"/>
                <w:sz w:val="20"/>
                <w:szCs w:val="20"/>
              </w:rPr>
            </w:pPr>
            <w:bookmarkStart w:colFirst="0" w:colLast="0" w:name="_tqacc05r5hw8" w:id="8"/>
            <w:bookmarkEnd w:id="8"/>
            <w:r w:rsidDel="00000000" w:rsidR="00000000" w:rsidRPr="00000000">
              <w:rPr>
                <w:rFonts w:ascii="Times New Roman" w:cs="Times New Roman" w:eastAsia="Times New Roman" w:hAnsi="Times New Roman"/>
                <w:color w:val="000000"/>
                <w:rtl w:val="0"/>
              </w:rPr>
              <w:t xml:space="preserve">Real-Time Voice and Extensibility: </w:t>
            </w:r>
            <w:r w:rsidDel="00000000" w:rsidR="00000000" w:rsidRPr="00000000">
              <w:rPr>
                <w:rFonts w:ascii="Times New Roman" w:cs="Times New Roman" w:eastAsia="Times New Roman" w:hAnsi="Times New Roman"/>
                <w:sz w:val="20"/>
                <w:szCs w:val="20"/>
                <w:rtl w:val="0"/>
              </w:rPr>
              <w:t xml:space="preserve">LiveKit and LiveKit Agents provide real-time audio streaming. The system supports multi-agent workflows, agent handoffs, and features such as greeting, data extraction, and workflow execution. It also supports multilingual interaction (e.g., English/German), ensuring responses match the user’s language.</w:t>
            </w:r>
          </w:p>
        </w:tc>
      </w:tr>
    </w:tbl>
    <w:p w:rsidR="00000000" w:rsidDel="00000000" w:rsidP="00000000" w:rsidRDefault="00000000" w:rsidRPr="00000000" w14:paraId="0000004C">
      <w:pPr>
        <w:pStyle w:val="Heading5"/>
        <w:spacing w:after="200" w:before="200" w:line="250.9085454545454" w:lineRule="auto"/>
        <w:rPr/>
      </w:pPr>
      <w:bookmarkStart w:colFirst="0" w:colLast="0" w:name="_j1xzmpo33tk4" w:id="9"/>
      <w:bookmarkEnd w:id="9"/>
      <w:r w:rsidDel="00000000" w:rsidR="00000000" w:rsidRPr="00000000">
        <w:rPr>
          <w:rtl w:val="0"/>
        </w:rPr>
        <w:t xml:space="preserve">System Workflow</w:t>
      </w:r>
    </w:p>
    <w:p w:rsidR="00000000" w:rsidDel="00000000" w:rsidP="00000000" w:rsidRDefault="00000000" w:rsidRPr="00000000" w14:paraId="0000004D">
      <w:pPr>
        <w:rPr>
          <w:rFonts w:ascii="Times New Roman" w:cs="Times New Roman" w:eastAsia="Times New Roman" w:hAnsi="Times New Roman"/>
          <w:b w:val="1"/>
          <w:bCs w:val="1"/>
          <w:sz w:val="20"/>
          <w:szCs w:val="20"/>
        </w:rPr>
      </w:pPr>
      <w:r w:rsidDel="00000000" w:rsidR="00000000" w:rsidRPr="00000000">
        <w:rPr/>
        <w:drawing>
          <wp:inline distB="114300" distT="114300" distL="114300" distR="114300">
            <wp:extent cx="5943600" cy="1397000"/>
            <wp:effectExtent b="0" l="0" r="0" t="0"/>
            <wp:docPr id="2"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5943600" cy="1397000"/>
                    </a:xfrm>
                    <a:prstGeom prst="rect"/>
                    <a:ln/>
                  </pic:spPr>
                </pic:pic>
              </a:graphicData>
            </a:graphic>
          </wp:inline>
        </w:drawing>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ardo">
    <w:embedRegular w:fontKey="{00000000-0000-0000-0000-000000000000}" r:id="rId1" w:subsetted="0"/>
    <w:embedBold w:fontKey="{00000000-0000-0000-0000-000000000000}" r:id="rId2" w:subsetted="0"/>
    <w:embedItalic w:fontKey="{00000000-0000-0000-0000-000000000000}" r:id="rId3"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