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oddvb6kma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IoT-enabled greenhouses influence key plant growth parameters compared to traditional greenhouses, and can these differences be leveraged to optimize crop production through predictive modeling?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Conduct summary statistics and visualizations to explore distribution patterns across plant metrics by class.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Correlation Analysis:</w:t>
      </w:r>
      <w:r w:rsidDel="00000000" w:rsidR="00000000" w:rsidRPr="00000000">
        <w:rPr>
          <w:rtl w:val="0"/>
        </w:rPr>
        <w:t xml:space="preserve"> Identify relationships among vegetative and root growth features to determine which metrics co-vary.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Classification Models:</w:t>
      </w:r>
      <w:r w:rsidDel="00000000" w:rsidR="00000000" w:rsidRPr="00000000">
        <w:rPr>
          <w:rtl w:val="0"/>
        </w:rPr>
        <w:t xml:space="preserve"> Use machine learning algorithms (e.g., logistic regression, decision trees, random forest) to predict plant classification based on observed physiological parameters.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Clustering:</w:t>
      </w:r>
      <w:r w:rsidDel="00000000" w:rsidR="00000000" w:rsidRPr="00000000">
        <w:rPr>
          <w:rtl w:val="0"/>
        </w:rPr>
        <w:t xml:space="preserve"> Apply unsupervised learning (e.g., K-Means, DBSCAN) to discover natural groupings within the data and validate the presence of distinct growth patterns.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Importance Ranking:</w:t>
      </w:r>
      <w:r w:rsidDel="00000000" w:rsidR="00000000" w:rsidRPr="00000000">
        <w:rPr>
          <w:rtl w:val="0"/>
        </w:rPr>
        <w:t xml:space="preserve"> Determine which features most significantly contribute to class differentiation, using methods such as SHAP values or model-based importance scores.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Hypothesis Testing:</w:t>
      </w:r>
      <w:r w:rsidDel="00000000" w:rsidR="00000000" w:rsidRPr="00000000">
        <w:rPr>
          <w:rtl w:val="0"/>
        </w:rPr>
        <w:t xml:space="preserve"> Statistically compare means of plant metrics between IoT and traditional groups to validate experimental claims.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Farming Optimization:</w:t>
      </w:r>
      <w:r w:rsidDel="00000000" w:rsidR="00000000" w:rsidRPr="00000000">
        <w:rPr>
          <w:rtl w:val="0"/>
        </w:rPr>
        <w:t xml:space="preserve"> Inform the design and calibration of IoT systems for greenhouses based on data-backed evidence of their effectiveness.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Agricultural Decision Support Systems:</w:t>
      </w:r>
      <w:r w:rsidDel="00000000" w:rsidR="00000000" w:rsidRPr="00000000">
        <w:rPr>
          <w:rtl w:val="0"/>
        </w:rPr>
        <w:t xml:space="preserve"> Enhance decision-making in crop management by integrating growth metric predictions into automated systems.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Agronomy Education and Research:</w:t>
      </w:r>
      <w:r w:rsidDel="00000000" w:rsidR="00000000" w:rsidRPr="00000000">
        <w:rPr>
          <w:rtl w:val="0"/>
        </w:rPr>
        <w:t xml:space="preserve"> Serve as a case study for students and researchers exploring precision agriculture and environmental control in plant science.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 Planning:</w:t>
      </w:r>
      <w:r w:rsidDel="00000000" w:rsidR="00000000" w:rsidRPr="00000000">
        <w:rPr>
          <w:rtl w:val="0"/>
        </w:rPr>
        <w:t xml:space="preserve"> Support initiatives aimed at increasing food production efficiency while minimizing water and energy use through controlled-environment agriculture.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Yield Forecasting Models:</w:t>
      </w:r>
      <w:r w:rsidDel="00000000" w:rsidR="00000000" w:rsidRPr="00000000">
        <w:rPr>
          <w:rtl w:val="0"/>
        </w:rPr>
        <w:t xml:space="preserve"> Enable early-stage estimation of yield potential based on measurable plant growth indicators under varying conditions.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