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gwclna35kfa"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The </w:t>
      </w:r>
      <w:r w:rsidDel="00000000" w:rsidR="00000000" w:rsidRPr="00000000">
        <w:rPr>
          <w:i w:val="1"/>
          <w:rtl w:val="0"/>
        </w:rPr>
        <w:t xml:space="preserve">Advanced IoT Agriculture 2024</w:t>
      </w:r>
      <w:r w:rsidDel="00000000" w:rsidR="00000000" w:rsidRPr="00000000">
        <w:rPr>
          <w:rtl w:val="0"/>
        </w:rPr>
        <w:t xml:space="preserve"> dataset originates from a master’s thesis project carried out by Mohammed Ismail Lifta at the Department of Computer Science, Tikrit University, Iraq. The research was conducted in the academic year 2023–2024 under the supervision of Assistant Professor Wisam Dawood Abdullah, who also serves as the administrator of the Cisco Networking Academy at the university.</w:t>
      </w:r>
    </w:p>
    <w:p w:rsidR="00000000" w:rsidDel="00000000" w:rsidP="00000000" w:rsidRDefault="00000000" w:rsidRPr="00000000" w14:paraId="00000003">
      <w:pPr>
        <w:spacing w:after="240" w:before="240" w:lineRule="auto"/>
        <w:rPr/>
      </w:pPr>
      <w:r w:rsidDel="00000000" w:rsidR="00000000" w:rsidRPr="00000000">
        <w:rPr>
          <w:rtl w:val="0"/>
        </w:rPr>
        <w:t xml:space="preserve">The dataset was compiled from agricultural experiments conducted in both </w:t>
      </w:r>
      <w:r w:rsidDel="00000000" w:rsidR="00000000" w:rsidRPr="00000000">
        <w:rPr>
          <w:b w:val="1"/>
          <w:rtl w:val="0"/>
        </w:rPr>
        <w:t xml:space="preserve">IoT-enabled greenhouses</w:t>
      </w:r>
      <w:r w:rsidDel="00000000" w:rsidR="00000000" w:rsidRPr="00000000">
        <w:rPr>
          <w:rtl w:val="0"/>
        </w:rPr>
        <w:t xml:space="preserve"> and </w:t>
      </w:r>
      <w:r w:rsidDel="00000000" w:rsidR="00000000" w:rsidRPr="00000000">
        <w:rPr>
          <w:b w:val="1"/>
          <w:rtl w:val="0"/>
        </w:rPr>
        <w:t xml:space="preserve">traditional greenhouses</w:t>
      </w:r>
      <w:r w:rsidDel="00000000" w:rsidR="00000000" w:rsidRPr="00000000">
        <w:rPr>
          <w:rtl w:val="0"/>
        </w:rPr>
        <w:t xml:space="preserve">. Plants were monitored for various vegetative and root-related metrics to assess the impact of smart agricultural technologies on crop development. The IoT greenhouse likely incorporated automated control systems for environmental conditions, whereas the traditional greenhouse followed conventional growing practices.</w:t>
      </w:r>
    </w:p>
    <w:p w:rsidR="00000000" w:rsidDel="00000000" w:rsidP="00000000" w:rsidRDefault="00000000" w:rsidRPr="00000000" w14:paraId="00000004">
      <w:pPr>
        <w:spacing w:after="240" w:before="240" w:lineRule="auto"/>
        <w:rPr/>
      </w:pPr>
      <w:r w:rsidDel="00000000" w:rsidR="00000000" w:rsidRPr="00000000">
        <w:rPr>
          <w:rtl w:val="0"/>
        </w:rPr>
        <w:t xml:space="preserve">The dataset contains </w:t>
      </w:r>
      <w:r w:rsidDel="00000000" w:rsidR="00000000" w:rsidRPr="00000000">
        <w:rPr>
          <w:b w:val="1"/>
          <w:rtl w:val="0"/>
        </w:rPr>
        <w:t xml:space="preserve">30,000 observations</w:t>
      </w:r>
      <w:r w:rsidDel="00000000" w:rsidR="00000000" w:rsidRPr="00000000">
        <w:rPr>
          <w:rtl w:val="0"/>
        </w:rPr>
        <w:t xml:space="preserve"> with </w:t>
      </w:r>
      <w:r w:rsidDel="00000000" w:rsidR="00000000" w:rsidRPr="00000000">
        <w:rPr>
          <w:b w:val="1"/>
          <w:rtl w:val="0"/>
        </w:rPr>
        <w:t xml:space="preserve">14 columns</w:t>
      </w:r>
      <w:r w:rsidDel="00000000" w:rsidR="00000000" w:rsidRPr="00000000">
        <w:rPr>
          <w:rtl w:val="0"/>
        </w:rPr>
        <w:t xml:space="preserve"> and includes quantitative indicators related to chlorophyll content, plant height, root and shoot biomass, leaf area, and moisture content in both the root and vegetative systems. Each entry is also classified into categories, potentially reflecting the type of greenhouse or experimental group.</w:t>
      </w:r>
    </w:p>
    <w:p w:rsidR="00000000" w:rsidDel="00000000" w:rsidP="00000000" w:rsidRDefault="00000000" w:rsidRPr="00000000" w14:paraId="00000005">
      <w:pPr>
        <w:spacing w:after="240" w:before="240" w:lineRule="auto"/>
        <w:rPr/>
      </w:pPr>
      <w:r w:rsidDel="00000000" w:rsidR="00000000" w:rsidRPr="00000000">
        <w:rPr>
          <w:rtl w:val="0"/>
        </w:rPr>
        <w:t xml:space="preserve">This dataset provides a rich foundation for evaluating the effectiveness of IoT applications in agriculture, developing machine learning models for plant growth classification, and advancing data-driven agronomic practices.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Column Descriptions: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Random</w:t>
      </w:r>
      <w:r w:rsidDel="00000000" w:rsidR="00000000" w:rsidRPr="00000000">
        <w:rPr>
          <w:rtl w:val="0"/>
        </w:rPr>
        <w:t xml:space="preserve"> – A categorical identifier for each sample (e.g., R1, R2, R3), possibly indicating different batches or randomized experimental groups.</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Average of chlorophyll in the plant (ACHP)</w:t>
      </w:r>
      <w:r w:rsidDel="00000000" w:rsidR="00000000" w:rsidRPr="00000000">
        <w:rPr>
          <w:rtl w:val="0"/>
        </w:rPr>
        <w:t xml:space="preserve"> – Float. The mean concentration of chlorophyll in the plant. This is a key indicator of photosynthetic activity and plant health.</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Plant height rate (PHR)</w:t>
      </w:r>
      <w:r w:rsidDel="00000000" w:rsidR="00000000" w:rsidRPr="00000000">
        <w:rPr>
          <w:rtl w:val="0"/>
        </w:rPr>
        <w:t xml:space="preserve"> – Float. Represents the growth rate of the plant’s height over time, offering insights into vertical development.</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Average wet weight of the growth vegetative (AWWGV)</w:t>
      </w:r>
      <w:r w:rsidDel="00000000" w:rsidR="00000000" w:rsidRPr="00000000">
        <w:rPr>
          <w:rtl w:val="0"/>
        </w:rPr>
        <w:t xml:space="preserve"> – Float. The average wet biomass of vegetative parts such as leaves and stems. Includes water content.</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Average leaf area of the plant (ALAP)</w:t>
      </w:r>
      <w:r w:rsidDel="00000000" w:rsidR="00000000" w:rsidRPr="00000000">
        <w:rPr>
          <w:rtl w:val="0"/>
        </w:rPr>
        <w:t xml:space="preserve"> – Float. The mean leaf surface area, which correlates with the plant’s ability to absorb sunlight for photosynthesis.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Average number of plant leaves (ANPL)</w:t>
      </w:r>
      <w:r w:rsidDel="00000000" w:rsidR="00000000" w:rsidRPr="00000000">
        <w:rPr>
          <w:rtl w:val="0"/>
        </w:rPr>
        <w:t xml:space="preserve"> – Float. The average count of leaves per plant, often associated with overall plant vigor.</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Average root diameter (ARD)</w:t>
      </w:r>
      <w:r w:rsidDel="00000000" w:rsidR="00000000" w:rsidRPr="00000000">
        <w:rPr>
          <w:rtl w:val="0"/>
        </w:rPr>
        <w:t xml:space="preserve"> – Float. The mean thickness of the roots. Larger diameters may be indicative of healthier or more mature root systems.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Average dry weight of the root (ADWR)</w:t>
      </w:r>
      <w:r w:rsidDel="00000000" w:rsidR="00000000" w:rsidRPr="00000000">
        <w:rPr>
          <w:rtl w:val="0"/>
        </w:rPr>
        <w:t xml:space="preserve"> – Float. The dry biomass of the root system, representing structural root development after removing moisture.</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Percentage of dry matter for vegetative growth (PDMVG)</w:t>
      </w:r>
      <w:r w:rsidDel="00000000" w:rsidR="00000000" w:rsidRPr="00000000">
        <w:rPr>
          <w:rtl w:val="0"/>
        </w:rPr>
        <w:t xml:space="preserve"> – Float. The ratio of dry matter to total vegetative mass, which can indicate plant maturity and tissue density.</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Average root length (ARL)</w:t>
      </w:r>
      <w:r w:rsidDel="00000000" w:rsidR="00000000" w:rsidRPr="00000000">
        <w:rPr>
          <w:rtl w:val="0"/>
        </w:rPr>
        <w:t xml:space="preserve"> – Float. The average length of roots in the plant, affecting nutrient and water uptake efficiency.</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Average wet weight of the root (AWWR)</w:t>
      </w:r>
      <w:r w:rsidDel="00000000" w:rsidR="00000000" w:rsidRPr="00000000">
        <w:rPr>
          <w:rtl w:val="0"/>
        </w:rPr>
        <w:t xml:space="preserve"> – Float. The total wet biomass of the root system, including water content.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Average dry weight of vegetative plants (ADWV)</w:t>
      </w:r>
      <w:r w:rsidDel="00000000" w:rsidR="00000000" w:rsidRPr="00000000">
        <w:rPr>
          <w:rtl w:val="0"/>
        </w:rPr>
        <w:t xml:space="preserve"> – Float. The dry biomass of vegetative parts, such as stems and leaves, excluding water content.</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Percentage of dry matter for root growth (PDMRG)</w:t>
      </w:r>
      <w:r w:rsidDel="00000000" w:rsidR="00000000" w:rsidRPr="00000000">
        <w:rPr>
          <w:rtl w:val="0"/>
        </w:rPr>
        <w:t xml:space="preserve"> – Float. The dry matter content in the root system, indicating the proportion of solid material in root biomass.</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rtl w:val="0"/>
        </w:rPr>
        <w:t xml:space="preserve">Class</w:t>
      </w:r>
      <w:r w:rsidDel="00000000" w:rsidR="00000000" w:rsidRPr="00000000">
        <w:rPr>
          <w:rtl w:val="0"/>
        </w:rPr>
        <w:t xml:space="preserve"> – Categorical variable indicating the classification of the plant, potentially referring to the type of greenhouse or experimental condition under which it was cultivated.</w:t>
        <w:br w:type="textWrapping"/>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The meaning of the </w:t>
      </w:r>
      <w:r w:rsidDel="00000000" w:rsidR="00000000" w:rsidRPr="00000000">
        <w:rPr>
          <w:b w:val="1"/>
          <w:rtl w:val="0"/>
        </w:rPr>
        <w:t xml:space="preserve">"Class"</w:t>
      </w:r>
      <w:r w:rsidDel="00000000" w:rsidR="00000000" w:rsidRPr="00000000">
        <w:rPr>
          <w:rtl w:val="0"/>
        </w:rPr>
        <w:t xml:space="preserve"> and </w:t>
      </w:r>
      <w:r w:rsidDel="00000000" w:rsidR="00000000" w:rsidRPr="00000000">
        <w:rPr>
          <w:b w:val="1"/>
          <w:rtl w:val="0"/>
        </w:rPr>
        <w:t xml:space="preserve">"Random"</w:t>
      </w:r>
      <w:r w:rsidDel="00000000" w:rsidR="00000000" w:rsidRPr="00000000">
        <w:rPr>
          <w:rtl w:val="0"/>
        </w:rPr>
        <w:t xml:space="preserve"> columns is not explicitly defined and may require clarification from the original research documentation.</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The dataset lacks environmental context variables such as temperature, humidity, CO₂ levels, and light intensity, which are crucial in greenhouse-based studies.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Units of measurement for each metric are not specified, which may limit reproducibility or interpretation across other datasets or applications.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Temporal data (e.g., growth progress over time) is not included, which restricts longitudinal analysis.</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The experimental setup details (e.g., type of crops, soil composition, watering frequency) are not provided, which could influence the interpretation of outcomes.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