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8f9fe" w:val="clear"/>
        <w:spacing w:before="760" w:lineRule="auto"/>
        <w:rPr>
          <w:sz w:val="38"/>
          <w:szCs w:val="38"/>
        </w:rPr>
      </w:pPr>
      <w:r w:rsidDel="00000000" w:rsidR="00000000" w:rsidRPr="00000000">
        <w:rPr>
          <w:sz w:val="38"/>
          <w:szCs w:val="38"/>
          <w:rtl w:val="0"/>
        </w:rPr>
        <w:t xml:space="preserve">Documentation</w:t>
      </w:r>
    </w:p>
    <w:p w:rsidR="00000000" w:rsidDel="00000000" w:rsidP="00000000" w:rsidRDefault="00000000" w:rsidRPr="00000000" w14:paraId="00000002">
      <w:pPr>
        <w:pStyle w:val="Heading1"/>
        <w:keepNext w:val="0"/>
        <w:keepLines w:val="0"/>
        <w:shd w:fill="f8f9fe" w:val="clear"/>
        <w:spacing w:before="0" w:line="360" w:lineRule="auto"/>
        <w:rPr>
          <w:b w:val="1"/>
          <w:color w:val="32325d"/>
          <w:sz w:val="48"/>
          <w:szCs w:val="48"/>
        </w:rPr>
      </w:pPr>
      <w:bookmarkStart w:colFirst="0" w:colLast="0" w:name="_pv4rfl6l3xbr" w:id="0"/>
      <w:bookmarkEnd w:id="0"/>
      <w:r w:rsidDel="00000000" w:rsidR="00000000" w:rsidRPr="00000000">
        <w:rPr>
          <w:b w:val="1"/>
          <w:color w:val="32325d"/>
          <w:sz w:val="48"/>
          <w:szCs w:val="48"/>
          <w:rtl w:val="0"/>
        </w:rPr>
        <w:t xml:space="preserve">Food Price Prediction</w:t>
      </w:r>
    </w:p>
    <w:p w:rsidR="00000000" w:rsidDel="00000000" w:rsidP="00000000" w:rsidRDefault="00000000" w:rsidRPr="00000000" w14:paraId="00000003">
      <w:pPr>
        <w:shd w:fill="f8f9fe" w:val="clear"/>
        <w:spacing w:after="240" w:line="408" w:lineRule="auto"/>
        <w:rPr>
          <w:color w:val="333333"/>
          <w:sz w:val="26"/>
          <w:szCs w:val="26"/>
        </w:rPr>
      </w:pPr>
      <w:r w:rsidDel="00000000" w:rsidR="00000000" w:rsidRPr="00000000">
        <w:rPr>
          <w:color w:val="333333"/>
          <w:sz w:val="26"/>
          <w:szCs w:val="26"/>
          <w:rtl w:val="0"/>
        </w:rPr>
        <w:t xml:space="preserve">The crop price prediction dataset is a collection of records of crop prices from various markets in different countries and regions. The dataset contains information on the country, administrative region, market, commodity, price type, year, month, price, trend, PEWI, ALPS phase, data type, unit, currency, upper (95%) CI, lower (95%) CI, and forecast methodology.</w:t>
      </w:r>
    </w:p>
    <w:p w:rsidR="00000000" w:rsidDel="00000000" w:rsidP="00000000" w:rsidRDefault="00000000" w:rsidRPr="00000000" w14:paraId="00000004">
      <w:pPr>
        <w:pStyle w:val="Heading2"/>
        <w:keepNext w:val="0"/>
        <w:keepLines w:val="0"/>
        <w:shd w:fill="f8f9fe" w:val="clear"/>
        <w:spacing w:after="80" w:before="0" w:line="360" w:lineRule="auto"/>
        <w:rPr>
          <w:b w:val="1"/>
          <w:color w:val="32325d"/>
          <w:sz w:val="36"/>
          <w:szCs w:val="36"/>
        </w:rPr>
      </w:pPr>
      <w:bookmarkStart w:colFirst="0" w:colLast="0" w:name="_slv92fgjxvmu" w:id="1"/>
      <w:bookmarkEnd w:id="1"/>
      <w:r w:rsidDel="00000000" w:rsidR="00000000" w:rsidRPr="00000000">
        <w:rPr>
          <w:b w:val="1"/>
          <w:color w:val="32325d"/>
          <w:sz w:val="36"/>
          <w:szCs w:val="36"/>
          <w:rtl w:val="0"/>
        </w:rPr>
        <w:t xml:space="preserve">Data Dictionary</w:t>
      </w:r>
    </w:p>
    <w:p w:rsidR="00000000" w:rsidDel="00000000" w:rsidP="00000000" w:rsidRDefault="00000000" w:rsidRPr="00000000" w14:paraId="00000005">
      <w:pPr>
        <w:numPr>
          <w:ilvl w:val="0"/>
          <w:numId w:val="1"/>
        </w:numPr>
        <w:spacing w:after="0" w:afterAutospacing="0" w:lineRule="auto"/>
        <w:ind w:left="720" w:hanging="360"/>
      </w:pPr>
      <w:r w:rsidDel="00000000" w:rsidR="00000000" w:rsidRPr="00000000">
        <w:rPr>
          <w:color w:val="525f7f"/>
          <w:sz w:val="24"/>
          <w:szCs w:val="24"/>
          <w:rtl w:val="0"/>
        </w:rPr>
        <w:t xml:space="preserve">Country: The country where the market is located.</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color w:val="525f7f"/>
          <w:sz w:val="24"/>
          <w:szCs w:val="24"/>
          <w:rtl w:val="0"/>
        </w:rPr>
        <w:t xml:space="preserve">Admin 1: The administrative region where the market is located.</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color w:val="525f7f"/>
          <w:sz w:val="24"/>
          <w:szCs w:val="24"/>
          <w:rtl w:val="0"/>
        </w:rPr>
        <w:t xml:space="preserve">Market: The market where the crop prices are recorded.</w:t>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color w:val="525f7f"/>
          <w:sz w:val="24"/>
          <w:szCs w:val="24"/>
          <w:rtl w:val="0"/>
        </w:rPr>
        <w:t xml:space="preserve">Commodity: The type of crop being traded in the market.</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color w:val="525f7f"/>
          <w:sz w:val="24"/>
          <w:szCs w:val="24"/>
          <w:rtl w:val="0"/>
        </w:rPr>
        <w:t xml:space="preserve">Price Type: The type of price being recorded (e.g. retail, wholesale, farm gate).</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color w:val="525f7f"/>
          <w:sz w:val="24"/>
          <w:szCs w:val="24"/>
          <w:rtl w:val="0"/>
        </w:rPr>
        <w:t xml:space="preserve">Year: The year in which the crop prices were recorded.</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color w:val="525f7f"/>
          <w:sz w:val="24"/>
          <w:szCs w:val="24"/>
          <w:rtl w:val="0"/>
        </w:rPr>
        <w:t xml:space="preserve">Month: The month in which the crop prices were recorded.</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color w:val="525f7f"/>
          <w:sz w:val="24"/>
          <w:szCs w:val="24"/>
          <w:rtl w:val="0"/>
        </w:rPr>
        <w:t xml:space="preserve">Price: The price of the crop in the market and currency specified.</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color w:val="525f7f"/>
          <w:sz w:val="24"/>
          <w:szCs w:val="24"/>
          <w:rtl w:val="0"/>
        </w:rPr>
        <w:t xml:space="preserve">Trend: The price trend over time (e.g. increasing, decreasing, stable).</w:t>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color w:val="525f7f"/>
          <w:sz w:val="24"/>
          <w:szCs w:val="24"/>
          <w:rtl w:val="0"/>
        </w:rPr>
        <w:t xml:space="preserve">PEWI: The Political and Economic Weighted Index, which is an indicator of the political and economic stability of the country.</w:t>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color w:val="525f7f"/>
          <w:sz w:val="24"/>
          <w:szCs w:val="24"/>
          <w:rtl w:val="0"/>
        </w:rPr>
        <w:t xml:space="preserve">ALPS phase: The phase of the Agricultural Market Information System (AMIS) Alert and Early Warning System (ALPS), which provides information on food prices and market conditions.</w:t>
      </w:r>
    </w:p>
    <w:p w:rsidR="00000000" w:rsidDel="00000000" w:rsidP="00000000" w:rsidRDefault="00000000" w:rsidRPr="00000000" w14:paraId="00000010">
      <w:pPr>
        <w:numPr>
          <w:ilvl w:val="0"/>
          <w:numId w:val="1"/>
        </w:numPr>
        <w:spacing w:after="0" w:afterAutospacing="0" w:lineRule="auto"/>
        <w:ind w:left="720" w:hanging="360"/>
      </w:pPr>
      <w:r w:rsidDel="00000000" w:rsidR="00000000" w:rsidRPr="00000000">
        <w:rPr>
          <w:color w:val="525f7f"/>
          <w:sz w:val="24"/>
          <w:szCs w:val="24"/>
          <w:rtl w:val="0"/>
        </w:rPr>
        <w:t xml:space="preserve">Data Type: Indicates whether the record is an actual price or a forecast.</w:t>
      </w:r>
    </w:p>
    <w:p w:rsidR="00000000" w:rsidDel="00000000" w:rsidP="00000000" w:rsidRDefault="00000000" w:rsidRPr="00000000" w14:paraId="00000011">
      <w:pPr>
        <w:numPr>
          <w:ilvl w:val="0"/>
          <w:numId w:val="1"/>
        </w:numPr>
        <w:spacing w:after="0" w:afterAutospacing="0" w:lineRule="auto"/>
        <w:ind w:left="720" w:hanging="360"/>
      </w:pPr>
      <w:r w:rsidDel="00000000" w:rsidR="00000000" w:rsidRPr="00000000">
        <w:rPr>
          <w:color w:val="525f7f"/>
          <w:sz w:val="24"/>
          <w:szCs w:val="24"/>
          <w:rtl w:val="0"/>
        </w:rPr>
        <w:t xml:space="preserve">Unit: The unit of measurement for the price (e.g. kg, ton).</w:t>
      </w:r>
    </w:p>
    <w:p w:rsidR="00000000" w:rsidDel="00000000" w:rsidP="00000000" w:rsidRDefault="00000000" w:rsidRPr="00000000" w14:paraId="00000012">
      <w:pPr>
        <w:numPr>
          <w:ilvl w:val="0"/>
          <w:numId w:val="1"/>
        </w:numPr>
        <w:spacing w:after="0" w:afterAutospacing="0" w:lineRule="auto"/>
        <w:ind w:left="720" w:hanging="360"/>
      </w:pPr>
      <w:r w:rsidDel="00000000" w:rsidR="00000000" w:rsidRPr="00000000">
        <w:rPr>
          <w:color w:val="525f7f"/>
          <w:sz w:val="24"/>
          <w:szCs w:val="24"/>
          <w:rtl w:val="0"/>
        </w:rPr>
        <w:t xml:space="preserve">Currency: The currency in which the price is recorded.</w:t>
      </w:r>
    </w:p>
    <w:p w:rsidR="00000000" w:rsidDel="00000000" w:rsidP="00000000" w:rsidRDefault="00000000" w:rsidRPr="00000000" w14:paraId="00000013">
      <w:pPr>
        <w:numPr>
          <w:ilvl w:val="0"/>
          <w:numId w:val="1"/>
        </w:numPr>
        <w:spacing w:after="0" w:afterAutospacing="0" w:lineRule="auto"/>
        <w:ind w:left="720" w:hanging="360"/>
      </w:pPr>
      <w:r w:rsidDel="00000000" w:rsidR="00000000" w:rsidRPr="00000000">
        <w:rPr>
          <w:color w:val="525f7f"/>
          <w:sz w:val="24"/>
          <w:szCs w:val="24"/>
          <w:rtl w:val="0"/>
        </w:rPr>
        <w:t xml:space="preserve">Upper (95%) CI: The upper limit of the 95% confidence interval for the price.</w:t>
      </w:r>
    </w:p>
    <w:p w:rsidR="00000000" w:rsidDel="00000000" w:rsidP="00000000" w:rsidRDefault="00000000" w:rsidRPr="00000000" w14:paraId="00000014">
      <w:pPr>
        <w:numPr>
          <w:ilvl w:val="0"/>
          <w:numId w:val="1"/>
        </w:numPr>
        <w:spacing w:after="0" w:afterAutospacing="0" w:lineRule="auto"/>
        <w:ind w:left="720" w:hanging="360"/>
      </w:pPr>
      <w:r w:rsidDel="00000000" w:rsidR="00000000" w:rsidRPr="00000000">
        <w:rPr>
          <w:color w:val="525f7f"/>
          <w:sz w:val="24"/>
          <w:szCs w:val="24"/>
          <w:rtl w:val="0"/>
        </w:rPr>
        <w:t xml:space="preserve">Lower (95%) CI: The lower limit of the 95% confidence interval for the price.</w:t>
      </w:r>
    </w:p>
    <w:p w:rsidR="00000000" w:rsidDel="00000000" w:rsidP="00000000" w:rsidRDefault="00000000" w:rsidRPr="00000000" w14:paraId="00000015">
      <w:pPr>
        <w:numPr>
          <w:ilvl w:val="0"/>
          <w:numId w:val="1"/>
        </w:numPr>
        <w:spacing w:after="240" w:lineRule="auto"/>
        <w:ind w:left="720" w:hanging="360"/>
      </w:pPr>
      <w:r w:rsidDel="00000000" w:rsidR="00000000" w:rsidRPr="00000000">
        <w:rPr>
          <w:color w:val="525f7f"/>
          <w:sz w:val="24"/>
          <w:szCs w:val="24"/>
          <w:rtl w:val="0"/>
        </w:rPr>
        <w:t xml:space="preserve">Forecast Methodology: The methodology used to generate the forecast.</w:t>
      </w:r>
    </w:p>
    <w:p w:rsidR="00000000" w:rsidDel="00000000" w:rsidP="00000000" w:rsidRDefault="00000000" w:rsidRPr="00000000" w14:paraId="00000016">
      <w:pPr>
        <w:pStyle w:val="Heading2"/>
        <w:keepNext w:val="0"/>
        <w:keepLines w:val="0"/>
        <w:shd w:fill="f8f9fe" w:val="clear"/>
        <w:spacing w:after="80" w:before="0" w:line="360" w:lineRule="auto"/>
        <w:rPr>
          <w:b w:val="1"/>
          <w:color w:val="32325d"/>
          <w:sz w:val="36"/>
          <w:szCs w:val="36"/>
        </w:rPr>
      </w:pPr>
      <w:bookmarkStart w:colFirst="0" w:colLast="0" w:name="_9wo9rfv2g2fh" w:id="2"/>
      <w:bookmarkEnd w:id="2"/>
      <w:r w:rsidDel="00000000" w:rsidR="00000000" w:rsidRPr="00000000">
        <w:rPr>
          <w:b w:val="1"/>
          <w:color w:val="32325d"/>
          <w:sz w:val="36"/>
          <w:szCs w:val="36"/>
          <w:rtl w:val="0"/>
        </w:rPr>
        <w:t xml:space="preserve">Data Format</w:t>
      </w:r>
    </w:p>
    <w:p w:rsidR="00000000" w:rsidDel="00000000" w:rsidP="00000000" w:rsidRDefault="00000000" w:rsidRPr="00000000" w14:paraId="00000017">
      <w:pPr>
        <w:shd w:fill="f8f9fe" w:val="clear"/>
        <w:spacing w:after="240" w:line="408" w:lineRule="auto"/>
        <w:rPr>
          <w:color w:val="333333"/>
          <w:sz w:val="26"/>
          <w:szCs w:val="26"/>
        </w:rPr>
      </w:pPr>
      <w:r w:rsidDel="00000000" w:rsidR="00000000" w:rsidRPr="00000000">
        <w:rPr>
          <w:color w:val="333333"/>
          <w:sz w:val="26"/>
          <w:szCs w:val="26"/>
          <w:rtl w:val="0"/>
        </w:rPr>
        <w:t xml:space="preserve">The dataset is provided in comma-separated values (CSV) format, with each record representing a single observation of a crop price in a specific market, country, and year.</w:t>
      </w:r>
    </w:p>
    <w:p w:rsidR="00000000" w:rsidDel="00000000" w:rsidP="00000000" w:rsidRDefault="00000000" w:rsidRPr="00000000" w14:paraId="00000018">
      <w:pPr>
        <w:shd w:fill="f8f9fe" w:val="clear"/>
        <w:spacing w:after="240" w:line="408" w:lineRule="auto"/>
        <w:rPr>
          <w:color w:val="333333"/>
          <w:sz w:val="26"/>
          <w:szCs w:val="26"/>
        </w:rPr>
      </w:pPr>
      <w:r w:rsidDel="00000000" w:rsidR="00000000" w:rsidRPr="00000000">
        <w:rPr>
          <w:color w:val="333333"/>
          <w:sz w:val="26"/>
          <w:szCs w:val="26"/>
          <w:rtl w:val="0"/>
        </w:rPr>
        <w:t xml:space="preserve">Each record contains 17 fields, separated by commas. The first record in the file contains the field names as headers. The fields are in the following order: Country, Admin 1, Market, Commodity, Price Type, Year, Month, Price, Trend, PEWI, ALPS phase, Data Type, Unit, Currency, Upper (95%) CI, Lower (95%) CI, Forecast Methodology.</w:t>
      </w:r>
    </w:p>
    <w:p w:rsidR="00000000" w:rsidDel="00000000" w:rsidP="00000000" w:rsidRDefault="00000000" w:rsidRPr="00000000" w14:paraId="00000019">
      <w:pPr>
        <w:shd w:fill="f8f9fe" w:val="clear"/>
        <w:spacing w:after="240" w:line="408" w:lineRule="auto"/>
        <w:rPr>
          <w:color w:val="333333"/>
          <w:sz w:val="26"/>
          <w:szCs w:val="26"/>
        </w:rPr>
      </w:pPr>
      <w:r w:rsidDel="00000000" w:rsidR="00000000" w:rsidRPr="00000000">
        <w:rPr>
          <w:color w:val="333333"/>
          <w:sz w:val="26"/>
          <w:szCs w:val="26"/>
          <w:rtl w:val="0"/>
        </w:rPr>
        <w:t xml:space="preserve">Here is an example record from the dataset:</w:t>
      </w:r>
    </w:p>
    <w:tbl>
      <w:tblPr>
        <w:tblStyle w:val="Table1"/>
        <w:tblW w:w="9360.0" w:type="dxa"/>
        <w:jc w:val="left"/>
        <w:tblBorders>
          <w:top w:color="656363" w:space="0" w:sz="18" w:val="single"/>
          <w:left w:color="656363" w:space="0" w:sz="18" w:val="single"/>
          <w:bottom w:color="656363" w:space="0" w:sz="18" w:val="single"/>
          <w:right w:color="656363" w:space="0" w:sz="18" w:val="single"/>
          <w:insideH w:color="656363" w:space="0" w:sz="18" w:val="single"/>
          <w:insideV w:color="656363" w:space="0" w:sz="18" w:val="single"/>
        </w:tblBorders>
        <w:tblLayout w:type="fixed"/>
        <w:tblLook w:val="0600"/>
      </w:tblPr>
      <w:tblGrid>
        <w:gridCol w:w="868.7734806629834"/>
        <w:gridCol w:w="982.5414364640883"/>
        <w:gridCol w:w="982.5414364640883"/>
        <w:gridCol w:w="1137.6795580110497"/>
        <w:gridCol w:w="651.5801104972376"/>
        <w:gridCol w:w="599.867403314917"/>
        <w:gridCol w:w="723.9779005524862"/>
        <w:gridCol w:w="630.8950276243094"/>
        <w:gridCol w:w="734.3204419889503"/>
        <w:gridCol w:w="651.5801104972376"/>
        <w:gridCol w:w="703.2928176795581"/>
        <w:gridCol w:w="692.950276243094"/>
        <w:tblGridChange w:id="0">
          <w:tblGrid>
            <w:gridCol w:w="868.7734806629834"/>
            <w:gridCol w:w="982.5414364640883"/>
            <w:gridCol w:w="982.5414364640883"/>
            <w:gridCol w:w="1137.6795580110497"/>
            <w:gridCol w:w="651.5801104972376"/>
            <w:gridCol w:w="599.867403314917"/>
            <w:gridCol w:w="723.9779005524862"/>
            <w:gridCol w:w="630.8950276243094"/>
            <w:gridCol w:w="734.3204419889503"/>
            <w:gridCol w:w="651.5801104972376"/>
            <w:gridCol w:w="703.2928176795581"/>
            <w:gridCol w:w="692.950276243094"/>
          </w:tblGrid>
        </w:tblGridChange>
      </w:tblGrid>
      <w:tr>
        <w:trPr>
          <w:cantSplit w:val="0"/>
          <w:trHeight w:val="735" w:hRule="atLeast"/>
          <w:tblHeader w:val="0"/>
        </w:trPr>
        <w:tc>
          <w:tcPr>
            <w:tcBorders>
              <w:top w:color="000000" w:space="0" w:sz="0" w:val="nil"/>
              <w:left w:color="000000" w:space="0" w:sz="0" w:val="nil"/>
              <w:bottom w:color="656363" w:space="0" w:sz="12" w:val="single"/>
              <w:right w:color="656363" w:space="0" w:sz="12" w:val="single"/>
            </w:tcBorders>
            <w:shd w:fill="efecec" w:val="clear"/>
            <w:tcMar>
              <w:top w:w="80.0" w:type="dxa"/>
              <w:left w:w="160.0" w:type="dxa"/>
              <w:bottom w:w="80.0" w:type="dxa"/>
              <w:right w:w="160.0" w:type="dxa"/>
            </w:tcMar>
            <w:vAlign w:val="top"/>
          </w:tcPr>
          <w:p w:rsidR="00000000" w:rsidDel="00000000" w:rsidP="00000000" w:rsidRDefault="00000000" w:rsidRPr="00000000" w14:paraId="0000001A">
            <w:pPr>
              <w:spacing w:after="300" w:lineRule="auto"/>
              <w:jc w:val="center"/>
              <w:rPr>
                <w:color w:val="525f7f"/>
                <w:sz w:val="24"/>
                <w:szCs w:val="24"/>
              </w:rPr>
            </w:pPr>
            <w:r w:rsidDel="00000000" w:rsidR="00000000" w:rsidRPr="00000000">
              <w:rPr>
                <w:b w:val="1"/>
                <w:color w:val="525f7f"/>
                <w:sz w:val="24"/>
                <w:szCs w:val="24"/>
                <w:rtl w:val="0"/>
              </w:rPr>
              <w:t xml:space="preserve">Country</w:t>
            </w:r>
            <w:r w:rsidDel="00000000" w:rsidR="00000000" w:rsidRPr="00000000">
              <w:rPr>
                <w:rtl w:val="0"/>
              </w:rPr>
            </w:r>
          </w:p>
        </w:tc>
        <w:tc>
          <w:tcPr>
            <w:tcBorders>
              <w:top w:color="000000" w:space="0" w:sz="0" w:val="nil"/>
              <w:left w:color="000000" w:space="0" w:sz="0" w:val="nil"/>
              <w:bottom w:color="656363" w:space="0" w:sz="12" w:val="single"/>
              <w:right w:color="656363" w:space="0" w:sz="12" w:val="single"/>
            </w:tcBorders>
            <w:shd w:fill="efecec" w:val="clear"/>
            <w:tcMar>
              <w:top w:w="80.0" w:type="dxa"/>
              <w:left w:w="160.0" w:type="dxa"/>
              <w:bottom w:w="80.0" w:type="dxa"/>
              <w:right w:w="160.0" w:type="dxa"/>
            </w:tcMar>
            <w:vAlign w:val="top"/>
          </w:tcPr>
          <w:p w:rsidR="00000000" w:rsidDel="00000000" w:rsidP="00000000" w:rsidRDefault="00000000" w:rsidRPr="00000000" w14:paraId="0000001B">
            <w:pPr>
              <w:spacing w:after="300" w:lineRule="auto"/>
              <w:jc w:val="center"/>
              <w:rPr>
                <w:color w:val="525f7f"/>
                <w:sz w:val="24"/>
                <w:szCs w:val="24"/>
              </w:rPr>
            </w:pPr>
            <w:r w:rsidDel="00000000" w:rsidR="00000000" w:rsidRPr="00000000">
              <w:rPr>
                <w:b w:val="1"/>
                <w:color w:val="525f7f"/>
                <w:sz w:val="24"/>
                <w:szCs w:val="24"/>
                <w:rtl w:val="0"/>
              </w:rPr>
              <w:t xml:space="preserve">Admin 1</w:t>
            </w:r>
            <w:r w:rsidDel="00000000" w:rsidR="00000000" w:rsidRPr="00000000">
              <w:rPr>
                <w:rtl w:val="0"/>
              </w:rPr>
            </w:r>
          </w:p>
        </w:tc>
        <w:tc>
          <w:tcPr>
            <w:tcBorders>
              <w:top w:color="000000" w:space="0" w:sz="0" w:val="nil"/>
              <w:left w:color="000000" w:space="0" w:sz="0" w:val="nil"/>
              <w:bottom w:color="656363" w:space="0" w:sz="12" w:val="single"/>
              <w:right w:color="656363" w:space="0" w:sz="12" w:val="single"/>
            </w:tcBorders>
            <w:shd w:fill="efecec" w:val="clear"/>
            <w:tcMar>
              <w:top w:w="80.0" w:type="dxa"/>
              <w:left w:w="160.0" w:type="dxa"/>
              <w:bottom w:w="80.0" w:type="dxa"/>
              <w:right w:w="160.0" w:type="dxa"/>
            </w:tcMar>
            <w:vAlign w:val="top"/>
          </w:tcPr>
          <w:p w:rsidR="00000000" w:rsidDel="00000000" w:rsidP="00000000" w:rsidRDefault="00000000" w:rsidRPr="00000000" w14:paraId="0000001C">
            <w:pPr>
              <w:spacing w:after="300" w:lineRule="auto"/>
              <w:jc w:val="center"/>
              <w:rPr>
                <w:color w:val="525f7f"/>
                <w:sz w:val="24"/>
                <w:szCs w:val="24"/>
              </w:rPr>
            </w:pPr>
            <w:r w:rsidDel="00000000" w:rsidR="00000000" w:rsidRPr="00000000">
              <w:rPr>
                <w:b w:val="1"/>
                <w:color w:val="525f7f"/>
                <w:sz w:val="24"/>
                <w:szCs w:val="24"/>
                <w:rtl w:val="0"/>
              </w:rPr>
              <w:t xml:space="preserve">Market</w:t>
            </w:r>
            <w:r w:rsidDel="00000000" w:rsidR="00000000" w:rsidRPr="00000000">
              <w:rPr>
                <w:rtl w:val="0"/>
              </w:rPr>
            </w:r>
          </w:p>
        </w:tc>
        <w:tc>
          <w:tcPr>
            <w:tcBorders>
              <w:top w:color="000000" w:space="0" w:sz="0" w:val="nil"/>
              <w:left w:color="000000" w:space="0" w:sz="0" w:val="nil"/>
              <w:bottom w:color="656363" w:space="0" w:sz="12" w:val="single"/>
              <w:right w:color="656363" w:space="0" w:sz="12" w:val="single"/>
            </w:tcBorders>
            <w:shd w:fill="efecec" w:val="clear"/>
            <w:tcMar>
              <w:top w:w="80.0" w:type="dxa"/>
              <w:left w:w="160.0" w:type="dxa"/>
              <w:bottom w:w="80.0" w:type="dxa"/>
              <w:right w:w="160.0" w:type="dxa"/>
            </w:tcMar>
            <w:vAlign w:val="top"/>
          </w:tcPr>
          <w:p w:rsidR="00000000" w:rsidDel="00000000" w:rsidP="00000000" w:rsidRDefault="00000000" w:rsidRPr="00000000" w14:paraId="0000001D">
            <w:pPr>
              <w:spacing w:after="300" w:lineRule="auto"/>
              <w:jc w:val="center"/>
              <w:rPr>
                <w:color w:val="525f7f"/>
                <w:sz w:val="24"/>
                <w:szCs w:val="24"/>
              </w:rPr>
            </w:pPr>
            <w:r w:rsidDel="00000000" w:rsidR="00000000" w:rsidRPr="00000000">
              <w:rPr>
                <w:b w:val="1"/>
                <w:color w:val="525f7f"/>
                <w:sz w:val="24"/>
                <w:szCs w:val="24"/>
                <w:rtl w:val="0"/>
              </w:rPr>
              <w:t xml:space="preserve">Commodity</w:t>
            </w:r>
            <w:r w:rsidDel="00000000" w:rsidR="00000000" w:rsidRPr="00000000">
              <w:rPr>
                <w:rtl w:val="0"/>
              </w:rPr>
            </w:r>
          </w:p>
        </w:tc>
        <w:tc>
          <w:tcPr>
            <w:tcBorders>
              <w:top w:color="000000" w:space="0" w:sz="0" w:val="nil"/>
              <w:left w:color="000000" w:space="0" w:sz="0" w:val="nil"/>
              <w:bottom w:color="656363" w:space="0" w:sz="12" w:val="single"/>
              <w:right w:color="656363" w:space="0" w:sz="12" w:val="single"/>
            </w:tcBorders>
            <w:shd w:fill="efecec" w:val="clear"/>
            <w:tcMar>
              <w:top w:w="80.0" w:type="dxa"/>
              <w:left w:w="160.0" w:type="dxa"/>
              <w:bottom w:w="80.0" w:type="dxa"/>
              <w:right w:w="160.0" w:type="dxa"/>
            </w:tcMar>
            <w:vAlign w:val="top"/>
          </w:tcPr>
          <w:p w:rsidR="00000000" w:rsidDel="00000000" w:rsidP="00000000" w:rsidRDefault="00000000" w:rsidRPr="00000000" w14:paraId="0000001E">
            <w:pPr>
              <w:spacing w:after="300" w:lineRule="auto"/>
              <w:jc w:val="center"/>
              <w:rPr>
                <w:color w:val="525f7f"/>
                <w:sz w:val="24"/>
                <w:szCs w:val="24"/>
              </w:rPr>
            </w:pPr>
            <w:r w:rsidDel="00000000" w:rsidR="00000000" w:rsidRPr="00000000">
              <w:rPr>
                <w:b w:val="1"/>
                <w:color w:val="525f7f"/>
                <w:sz w:val="24"/>
                <w:szCs w:val="24"/>
                <w:rtl w:val="0"/>
              </w:rPr>
              <w:t xml:space="preserve">Price Type</w:t>
            </w:r>
            <w:r w:rsidDel="00000000" w:rsidR="00000000" w:rsidRPr="00000000">
              <w:rPr>
                <w:rtl w:val="0"/>
              </w:rPr>
            </w:r>
          </w:p>
        </w:tc>
        <w:tc>
          <w:tcPr>
            <w:tcBorders>
              <w:top w:color="000000" w:space="0" w:sz="0" w:val="nil"/>
              <w:left w:color="000000" w:space="0" w:sz="0" w:val="nil"/>
              <w:bottom w:color="656363" w:space="0" w:sz="12" w:val="single"/>
              <w:right w:color="656363" w:space="0" w:sz="12" w:val="single"/>
            </w:tcBorders>
            <w:shd w:fill="efecec" w:val="clear"/>
            <w:tcMar>
              <w:top w:w="80.0" w:type="dxa"/>
              <w:left w:w="160.0" w:type="dxa"/>
              <w:bottom w:w="80.0" w:type="dxa"/>
              <w:right w:w="160.0" w:type="dxa"/>
            </w:tcMar>
            <w:vAlign w:val="top"/>
          </w:tcPr>
          <w:p w:rsidR="00000000" w:rsidDel="00000000" w:rsidP="00000000" w:rsidRDefault="00000000" w:rsidRPr="00000000" w14:paraId="0000001F">
            <w:pPr>
              <w:spacing w:after="300" w:lineRule="auto"/>
              <w:jc w:val="center"/>
              <w:rPr>
                <w:color w:val="525f7f"/>
                <w:sz w:val="24"/>
                <w:szCs w:val="24"/>
              </w:rPr>
            </w:pPr>
            <w:r w:rsidDel="00000000" w:rsidR="00000000" w:rsidRPr="00000000">
              <w:rPr>
                <w:b w:val="1"/>
                <w:color w:val="525f7f"/>
                <w:sz w:val="24"/>
                <w:szCs w:val="24"/>
                <w:rtl w:val="0"/>
              </w:rPr>
              <w:t xml:space="preserve">Year</w:t>
            </w:r>
            <w:r w:rsidDel="00000000" w:rsidR="00000000" w:rsidRPr="00000000">
              <w:rPr>
                <w:rtl w:val="0"/>
              </w:rPr>
            </w:r>
          </w:p>
        </w:tc>
        <w:tc>
          <w:tcPr>
            <w:tcBorders>
              <w:top w:color="000000" w:space="0" w:sz="0" w:val="nil"/>
              <w:left w:color="000000" w:space="0" w:sz="0" w:val="nil"/>
              <w:bottom w:color="656363" w:space="0" w:sz="12" w:val="single"/>
              <w:right w:color="656363" w:space="0" w:sz="12" w:val="single"/>
            </w:tcBorders>
            <w:shd w:fill="efecec" w:val="clear"/>
            <w:tcMar>
              <w:top w:w="80.0" w:type="dxa"/>
              <w:left w:w="160.0" w:type="dxa"/>
              <w:bottom w:w="80.0" w:type="dxa"/>
              <w:right w:w="160.0" w:type="dxa"/>
            </w:tcMar>
            <w:vAlign w:val="top"/>
          </w:tcPr>
          <w:p w:rsidR="00000000" w:rsidDel="00000000" w:rsidP="00000000" w:rsidRDefault="00000000" w:rsidRPr="00000000" w14:paraId="00000020">
            <w:pPr>
              <w:spacing w:after="300" w:lineRule="auto"/>
              <w:jc w:val="center"/>
              <w:rPr>
                <w:color w:val="525f7f"/>
                <w:sz w:val="24"/>
                <w:szCs w:val="24"/>
              </w:rPr>
            </w:pPr>
            <w:r w:rsidDel="00000000" w:rsidR="00000000" w:rsidRPr="00000000">
              <w:rPr>
                <w:b w:val="1"/>
                <w:color w:val="525f7f"/>
                <w:sz w:val="24"/>
                <w:szCs w:val="24"/>
                <w:rtl w:val="0"/>
              </w:rPr>
              <w:t xml:space="preserve">Month</w:t>
            </w:r>
            <w:r w:rsidDel="00000000" w:rsidR="00000000" w:rsidRPr="00000000">
              <w:rPr>
                <w:rtl w:val="0"/>
              </w:rPr>
            </w:r>
          </w:p>
        </w:tc>
        <w:tc>
          <w:tcPr>
            <w:tcBorders>
              <w:top w:color="000000" w:space="0" w:sz="0" w:val="nil"/>
              <w:left w:color="000000" w:space="0" w:sz="0" w:val="nil"/>
              <w:bottom w:color="656363" w:space="0" w:sz="12" w:val="single"/>
              <w:right w:color="656363" w:space="0" w:sz="12" w:val="single"/>
            </w:tcBorders>
            <w:shd w:fill="efecec" w:val="clear"/>
            <w:tcMar>
              <w:top w:w="80.0" w:type="dxa"/>
              <w:left w:w="160.0" w:type="dxa"/>
              <w:bottom w:w="80.0" w:type="dxa"/>
              <w:right w:w="160.0" w:type="dxa"/>
            </w:tcMar>
            <w:vAlign w:val="top"/>
          </w:tcPr>
          <w:p w:rsidR="00000000" w:rsidDel="00000000" w:rsidP="00000000" w:rsidRDefault="00000000" w:rsidRPr="00000000" w14:paraId="00000021">
            <w:pPr>
              <w:spacing w:after="300" w:lineRule="auto"/>
              <w:jc w:val="center"/>
              <w:rPr>
                <w:color w:val="525f7f"/>
                <w:sz w:val="24"/>
                <w:szCs w:val="24"/>
              </w:rPr>
            </w:pPr>
            <w:r w:rsidDel="00000000" w:rsidR="00000000" w:rsidRPr="00000000">
              <w:rPr>
                <w:b w:val="1"/>
                <w:color w:val="525f7f"/>
                <w:sz w:val="24"/>
                <w:szCs w:val="24"/>
                <w:rtl w:val="0"/>
              </w:rPr>
              <w:t xml:space="preserve">Price</w:t>
            </w:r>
            <w:r w:rsidDel="00000000" w:rsidR="00000000" w:rsidRPr="00000000">
              <w:rPr>
                <w:rtl w:val="0"/>
              </w:rPr>
            </w:r>
          </w:p>
        </w:tc>
        <w:tc>
          <w:tcPr>
            <w:tcBorders>
              <w:top w:color="000000" w:space="0" w:sz="0" w:val="nil"/>
              <w:left w:color="000000" w:space="0" w:sz="0" w:val="nil"/>
              <w:bottom w:color="656363" w:space="0" w:sz="12" w:val="single"/>
              <w:right w:color="656363" w:space="0" w:sz="12" w:val="single"/>
            </w:tcBorders>
            <w:shd w:fill="efecec" w:val="clear"/>
            <w:tcMar>
              <w:top w:w="80.0" w:type="dxa"/>
              <w:left w:w="160.0" w:type="dxa"/>
              <w:bottom w:w="80.0" w:type="dxa"/>
              <w:right w:w="160.0" w:type="dxa"/>
            </w:tcMar>
            <w:vAlign w:val="top"/>
          </w:tcPr>
          <w:p w:rsidR="00000000" w:rsidDel="00000000" w:rsidP="00000000" w:rsidRDefault="00000000" w:rsidRPr="00000000" w14:paraId="00000022">
            <w:pPr>
              <w:spacing w:after="300" w:lineRule="auto"/>
              <w:jc w:val="center"/>
              <w:rPr>
                <w:color w:val="525f7f"/>
                <w:sz w:val="24"/>
                <w:szCs w:val="24"/>
              </w:rPr>
            </w:pPr>
            <w:r w:rsidDel="00000000" w:rsidR="00000000" w:rsidRPr="00000000">
              <w:rPr>
                <w:b w:val="1"/>
                <w:color w:val="525f7f"/>
                <w:sz w:val="24"/>
                <w:szCs w:val="24"/>
                <w:rtl w:val="0"/>
              </w:rPr>
              <w:t xml:space="preserve">Trend</w:t>
            </w:r>
            <w:r w:rsidDel="00000000" w:rsidR="00000000" w:rsidRPr="00000000">
              <w:rPr>
                <w:rtl w:val="0"/>
              </w:rPr>
            </w:r>
          </w:p>
        </w:tc>
        <w:tc>
          <w:tcPr>
            <w:tcBorders>
              <w:top w:color="000000" w:space="0" w:sz="0" w:val="nil"/>
              <w:left w:color="000000" w:space="0" w:sz="0" w:val="nil"/>
              <w:bottom w:color="656363" w:space="0" w:sz="12" w:val="single"/>
              <w:right w:color="656363" w:space="0" w:sz="12" w:val="single"/>
            </w:tcBorders>
            <w:shd w:fill="efecec" w:val="clear"/>
            <w:tcMar>
              <w:top w:w="80.0" w:type="dxa"/>
              <w:left w:w="160.0" w:type="dxa"/>
              <w:bottom w:w="80.0" w:type="dxa"/>
              <w:right w:w="160.0" w:type="dxa"/>
            </w:tcMar>
            <w:vAlign w:val="top"/>
          </w:tcPr>
          <w:p w:rsidR="00000000" w:rsidDel="00000000" w:rsidP="00000000" w:rsidRDefault="00000000" w:rsidRPr="00000000" w14:paraId="00000023">
            <w:pPr>
              <w:spacing w:after="300" w:lineRule="auto"/>
              <w:jc w:val="center"/>
              <w:rPr>
                <w:color w:val="525f7f"/>
                <w:sz w:val="24"/>
                <w:szCs w:val="24"/>
              </w:rPr>
            </w:pPr>
            <w:r w:rsidDel="00000000" w:rsidR="00000000" w:rsidRPr="00000000">
              <w:rPr>
                <w:b w:val="1"/>
                <w:color w:val="525f7f"/>
                <w:sz w:val="24"/>
                <w:szCs w:val="24"/>
                <w:rtl w:val="0"/>
              </w:rPr>
              <w:t xml:space="preserve">PEWI</w:t>
            </w:r>
            <w:r w:rsidDel="00000000" w:rsidR="00000000" w:rsidRPr="00000000">
              <w:rPr>
                <w:rtl w:val="0"/>
              </w:rPr>
            </w:r>
          </w:p>
        </w:tc>
        <w:tc>
          <w:tcPr>
            <w:tcBorders>
              <w:top w:color="000000" w:space="0" w:sz="0" w:val="nil"/>
              <w:left w:color="000000" w:space="0" w:sz="0" w:val="nil"/>
              <w:bottom w:color="656363" w:space="0" w:sz="12" w:val="single"/>
              <w:right w:color="656363" w:space="0" w:sz="12" w:val="single"/>
            </w:tcBorders>
            <w:shd w:fill="efecec" w:val="clear"/>
            <w:tcMar>
              <w:top w:w="80.0" w:type="dxa"/>
              <w:left w:w="160.0" w:type="dxa"/>
              <w:bottom w:w="80.0" w:type="dxa"/>
              <w:right w:w="160.0" w:type="dxa"/>
            </w:tcMar>
            <w:vAlign w:val="top"/>
          </w:tcPr>
          <w:p w:rsidR="00000000" w:rsidDel="00000000" w:rsidP="00000000" w:rsidRDefault="00000000" w:rsidRPr="00000000" w14:paraId="00000024">
            <w:pPr>
              <w:spacing w:after="300" w:lineRule="auto"/>
              <w:jc w:val="center"/>
              <w:rPr>
                <w:color w:val="525f7f"/>
                <w:sz w:val="24"/>
                <w:szCs w:val="24"/>
              </w:rPr>
            </w:pPr>
            <w:r w:rsidDel="00000000" w:rsidR="00000000" w:rsidRPr="00000000">
              <w:rPr>
                <w:b w:val="1"/>
                <w:color w:val="525f7f"/>
                <w:sz w:val="24"/>
                <w:szCs w:val="24"/>
                <w:rtl w:val="0"/>
              </w:rPr>
              <w:t xml:space="preserve">ALPS phase</w:t>
            </w:r>
            <w:r w:rsidDel="00000000" w:rsidR="00000000" w:rsidRPr="00000000">
              <w:rPr>
                <w:rtl w:val="0"/>
              </w:rPr>
            </w:r>
          </w:p>
        </w:tc>
        <w:tc>
          <w:tcPr>
            <w:tcBorders>
              <w:top w:color="000000" w:space="0" w:sz="0" w:val="nil"/>
              <w:left w:color="000000" w:space="0" w:sz="0" w:val="nil"/>
              <w:bottom w:color="656363" w:space="0" w:sz="12" w:val="single"/>
              <w:right w:color="656363" w:space="0" w:sz="12" w:val="single"/>
            </w:tcBorders>
            <w:shd w:fill="efecec" w:val="clear"/>
            <w:tcMar>
              <w:top w:w="80.0" w:type="dxa"/>
              <w:left w:w="160.0" w:type="dxa"/>
              <w:bottom w:w="80.0" w:type="dxa"/>
              <w:right w:w="160.0" w:type="dxa"/>
            </w:tcMar>
            <w:vAlign w:val="top"/>
          </w:tcPr>
          <w:p w:rsidR="00000000" w:rsidDel="00000000" w:rsidP="00000000" w:rsidRDefault="00000000" w:rsidRPr="00000000" w14:paraId="00000025">
            <w:pPr>
              <w:spacing w:after="300" w:lineRule="auto"/>
              <w:jc w:val="center"/>
              <w:rPr>
                <w:color w:val="525f7f"/>
                <w:sz w:val="24"/>
                <w:szCs w:val="24"/>
              </w:rPr>
            </w:pPr>
            <w:r w:rsidDel="00000000" w:rsidR="00000000" w:rsidRPr="00000000">
              <w:rPr>
                <w:b w:val="1"/>
                <w:color w:val="525f7f"/>
                <w:sz w:val="24"/>
                <w:szCs w:val="24"/>
                <w:rtl w:val="0"/>
              </w:rPr>
              <w:t xml:space="preserve">Data Type</w:t>
            </w:r>
            <w:r w:rsidDel="00000000" w:rsidR="00000000" w:rsidRPr="00000000">
              <w:rPr>
                <w:rtl w:val="0"/>
              </w:rPr>
            </w:r>
          </w:p>
        </w:tc>
      </w:tr>
      <w:tr>
        <w:trPr>
          <w:cantSplit w:val="0"/>
          <w:trHeight w:val="735" w:hRule="atLeast"/>
          <w:tblHeader w:val="0"/>
        </w:trPr>
        <w:tc>
          <w:tcPr>
            <w:tcBorders>
              <w:top w:color="000000" w:space="0" w:sz="0" w:val="nil"/>
              <w:left w:color="000000" w:space="0" w:sz="0" w:val="nil"/>
              <w:bottom w:color="656363" w:space="0" w:sz="12" w:val="single"/>
              <w:right w:color="656363" w:space="0" w:sz="12" w:val="single"/>
            </w:tcBorders>
            <w:tcMar>
              <w:top w:w="80.0" w:type="dxa"/>
              <w:left w:w="160.0" w:type="dxa"/>
              <w:bottom w:w="80.0" w:type="dxa"/>
              <w:right w:w="160.0" w:type="dxa"/>
            </w:tcMar>
            <w:vAlign w:val="top"/>
          </w:tcPr>
          <w:p w:rsidR="00000000" w:rsidDel="00000000" w:rsidP="00000000" w:rsidRDefault="00000000" w:rsidRPr="00000000" w14:paraId="00000026">
            <w:pPr>
              <w:spacing w:after="300" w:lineRule="auto"/>
              <w:rPr>
                <w:color w:val="525f7f"/>
                <w:sz w:val="24"/>
                <w:szCs w:val="24"/>
              </w:rPr>
            </w:pPr>
            <w:r w:rsidDel="00000000" w:rsidR="00000000" w:rsidRPr="00000000">
              <w:rPr>
                <w:color w:val="525f7f"/>
                <w:sz w:val="24"/>
                <w:szCs w:val="24"/>
                <w:rtl w:val="0"/>
              </w:rPr>
              <w:t xml:space="preserve">Senegal</w:t>
            </w:r>
          </w:p>
        </w:tc>
        <w:tc>
          <w:tcPr>
            <w:tcBorders>
              <w:top w:color="000000" w:space="0" w:sz="0" w:val="nil"/>
              <w:left w:color="000000" w:space="0" w:sz="0" w:val="nil"/>
              <w:bottom w:color="656363" w:space="0" w:sz="12" w:val="single"/>
              <w:right w:color="656363" w:space="0" w:sz="12" w:val="single"/>
            </w:tcBorders>
            <w:tcMar>
              <w:top w:w="80.0" w:type="dxa"/>
              <w:left w:w="160.0" w:type="dxa"/>
              <w:bottom w:w="80.0" w:type="dxa"/>
              <w:right w:w="160.0" w:type="dxa"/>
            </w:tcMar>
            <w:vAlign w:val="top"/>
          </w:tcPr>
          <w:p w:rsidR="00000000" w:rsidDel="00000000" w:rsidP="00000000" w:rsidRDefault="00000000" w:rsidRPr="00000000" w14:paraId="00000027">
            <w:pPr>
              <w:spacing w:after="300" w:lineRule="auto"/>
              <w:rPr>
                <w:color w:val="525f7f"/>
                <w:sz w:val="24"/>
                <w:szCs w:val="24"/>
              </w:rPr>
            </w:pPr>
            <w:r w:rsidDel="00000000" w:rsidR="00000000" w:rsidRPr="00000000">
              <w:rPr>
                <w:color w:val="525f7f"/>
                <w:sz w:val="24"/>
                <w:szCs w:val="24"/>
                <w:rtl w:val="0"/>
              </w:rPr>
              <w:t xml:space="preserve">Kedougou</w:t>
            </w:r>
          </w:p>
        </w:tc>
        <w:tc>
          <w:tcPr>
            <w:tcBorders>
              <w:top w:color="000000" w:space="0" w:sz="0" w:val="nil"/>
              <w:left w:color="000000" w:space="0" w:sz="0" w:val="nil"/>
              <w:bottom w:color="656363" w:space="0" w:sz="12" w:val="single"/>
              <w:right w:color="656363" w:space="0" w:sz="12" w:val="single"/>
            </w:tcBorders>
            <w:tcMar>
              <w:top w:w="80.0" w:type="dxa"/>
              <w:left w:w="160.0" w:type="dxa"/>
              <w:bottom w:w="80.0" w:type="dxa"/>
              <w:right w:w="160.0" w:type="dxa"/>
            </w:tcMar>
            <w:vAlign w:val="top"/>
          </w:tcPr>
          <w:p w:rsidR="00000000" w:rsidDel="00000000" w:rsidP="00000000" w:rsidRDefault="00000000" w:rsidRPr="00000000" w14:paraId="00000028">
            <w:pPr>
              <w:spacing w:after="300" w:lineRule="auto"/>
              <w:rPr>
                <w:color w:val="525f7f"/>
                <w:sz w:val="24"/>
                <w:szCs w:val="24"/>
              </w:rPr>
            </w:pPr>
            <w:r w:rsidDel="00000000" w:rsidR="00000000" w:rsidRPr="00000000">
              <w:rPr>
                <w:color w:val="525f7f"/>
                <w:sz w:val="24"/>
                <w:szCs w:val="24"/>
                <w:rtl w:val="0"/>
              </w:rPr>
              <w:t xml:space="preserve">Kedougou</w:t>
            </w:r>
          </w:p>
        </w:tc>
        <w:tc>
          <w:tcPr>
            <w:tcBorders>
              <w:top w:color="000000" w:space="0" w:sz="0" w:val="nil"/>
              <w:left w:color="000000" w:space="0" w:sz="0" w:val="nil"/>
              <w:bottom w:color="656363" w:space="0" w:sz="12" w:val="single"/>
              <w:right w:color="656363" w:space="0" w:sz="12" w:val="single"/>
            </w:tcBorders>
            <w:tcMar>
              <w:top w:w="80.0" w:type="dxa"/>
              <w:left w:w="160.0" w:type="dxa"/>
              <w:bottom w:w="80.0" w:type="dxa"/>
              <w:right w:w="160.0" w:type="dxa"/>
            </w:tcMar>
            <w:vAlign w:val="top"/>
          </w:tcPr>
          <w:p w:rsidR="00000000" w:rsidDel="00000000" w:rsidP="00000000" w:rsidRDefault="00000000" w:rsidRPr="00000000" w14:paraId="00000029">
            <w:pPr>
              <w:spacing w:after="300" w:lineRule="auto"/>
              <w:rPr>
                <w:color w:val="525f7f"/>
                <w:sz w:val="24"/>
                <w:szCs w:val="24"/>
              </w:rPr>
            </w:pPr>
            <w:r w:rsidDel="00000000" w:rsidR="00000000" w:rsidRPr="00000000">
              <w:rPr>
                <w:color w:val="525f7f"/>
                <w:sz w:val="24"/>
                <w:szCs w:val="24"/>
                <w:rtl w:val="0"/>
              </w:rPr>
              <w:t xml:space="preserve">Maize (local)</w:t>
            </w:r>
          </w:p>
        </w:tc>
        <w:tc>
          <w:tcPr>
            <w:tcBorders>
              <w:top w:color="000000" w:space="0" w:sz="0" w:val="nil"/>
              <w:left w:color="000000" w:space="0" w:sz="0" w:val="nil"/>
              <w:bottom w:color="656363" w:space="0" w:sz="12" w:val="single"/>
              <w:right w:color="656363" w:space="0" w:sz="12" w:val="single"/>
            </w:tcBorders>
            <w:tcMar>
              <w:top w:w="80.0" w:type="dxa"/>
              <w:left w:w="160.0" w:type="dxa"/>
              <w:bottom w:w="80.0" w:type="dxa"/>
              <w:right w:w="160.0" w:type="dxa"/>
            </w:tcMar>
            <w:vAlign w:val="top"/>
          </w:tcPr>
          <w:p w:rsidR="00000000" w:rsidDel="00000000" w:rsidP="00000000" w:rsidRDefault="00000000" w:rsidRPr="00000000" w14:paraId="0000002A">
            <w:pPr>
              <w:spacing w:after="300" w:lineRule="auto"/>
              <w:rPr>
                <w:color w:val="525f7f"/>
                <w:sz w:val="24"/>
                <w:szCs w:val="24"/>
              </w:rPr>
            </w:pPr>
            <w:r w:rsidDel="00000000" w:rsidR="00000000" w:rsidRPr="00000000">
              <w:rPr>
                <w:color w:val="525f7f"/>
                <w:sz w:val="24"/>
                <w:szCs w:val="24"/>
                <w:rtl w:val="0"/>
              </w:rPr>
              <w:t xml:space="preserve">Retail</w:t>
            </w:r>
          </w:p>
        </w:tc>
        <w:tc>
          <w:tcPr>
            <w:tcBorders>
              <w:top w:color="000000" w:space="0" w:sz="0" w:val="nil"/>
              <w:left w:color="000000" w:space="0" w:sz="0" w:val="nil"/>
              <w:bottom w:color="656363" w:space="0" w:sz="12" w:val="single"/>
              <w:right w:color="656363" w:space="0" w:sz="12" w:val="single"/>
            </w:tcBorders>
            <w:tcMar>
              <w:top w:w="80.0" w:type="dxa"/>
              <w:left w:w="160.0" w:type="dxa"/>
              <w:bottom w:w="80.0" w:type="dxa"/>
              <w:right w:w="160.0" w:type="dxa"/>
            </w:tcMar>
            <w:vAlign w:val="top"/>
          </w:tcPr>
          <w:p w:rsidR="00000000" w:rsidDel="00000000" w:rsidP="00000000" w:rsidRDefault="00000000" w:rsidRPr="00000000" w14:paraId="0000002B">
            <w:pPr>
              <w:spacing w:after="300" w:lineRule="auto"/>
              <w:rPr>
                <w:color w:val="525f7f"/>
                <w:sz w:val="24"/>
                <w:szCs w:val="24"/>
              </w:rPr>
            </w:pPr>
            <w:r w:rsidDel="00000000" w:rsidR="00000000" w:rsidRPr="00000000">
              <w:rPr>
                <w:color w:val="525f7f"/>
                <w:sz w:val="24"/>
                <w:szCs w:val="24"/>
                <w:rtl w:val="0"/>
              </w:rPr>
              <w:t xml:space="preserve">2007</w:t>
            </w:r>
          </w:p>
        </w:tc>
        <w:tc>
          <w:tcPr>
            <w:tcBorders>
              <w:top w:color="000000" w:space="0" w:sz="0" w:val="nil"/>
              <w:left w:color="000000" w:space="0" w:sz="0" w:val="nil"/>
              <w:bottom w:color="656363" w:space="0" w:sz="12" w:val="single"/>
              <w:right w:color="656363" w:space="0" w:sz="12" w:val="single"/>
            </w:tcBorders>
            <w:tcMar>
              <w:top w:w="80.0" w:type="dxa"/>
              <w:left w:w="160.0" w:type="dxa"/>
              <w:bottom w:w="80.0" w:type="dxa"/>
              <w:right w:w="160.0" w:type="dxa"/>
            </w:tcMar>
            <w:vAlign w:val="top"/>
          </w:tcPr>
          <w:p w:rsidR="00000000" w:rsidDel="00000000" w:rsidP="00000000" w:rsidRDefault="00000000" w:rsidRPr="00000000" w14:paraId="0000002C">
            <w:pPr>
              <w:spacing w:after="300" w:lineRule="auto"/>
              <w:rPr>
                <w:color w:val="525f7f"/>
                <w:sz w:val="24"/>
                <w:szCs w:val="24"/>
              </w:rPr>
            </w:pPr>
            <w:r w:rsidDel="00000000" w:rsidR="00000000" w:rsidRPr="00000000">
              <w:rPr>
                <w:color w:val="525f7f"/>
                <w:sz w:val="24"/>
                <w:szCs w:val="24"/>
                <w:rtl w:val="0"/>
              </w:rPr>
              <w:t xml:space="preserve">01</w:t>
            </w:r>
          </w:p>
        </w:tc>
        <w:tc>
          <w:tcPr>
            <w:tcBorders>
              <w:top w:color="000000" w:space="0" w:sz="0" w:val="nil"/>
              <w:left w:color="000000" w:space="0" w:sz="0" w:val="nil"/>
              <w:bottom w:color="656363" w:space="0" w:sz="12" w:val="single"/>
              <w:right w:color="656363" w:space="0" w:sz="12" w:val="single"/>
            </w:tcBorders>
            <w:tcMar>
              <w:top w:w="80.0" w:type="dxa"/>
              <w:left w:w="160.0" w:type="dxa"/>
              <w:bottom w:w="80.0" w:type="dxa"/>
              <w:right w:w="160.0" w:type="dxa"/>
            </w:tcMar>
            <w:vAlign w:val="top"/>
          </w:tcPr>
          <w:p w:rsidR="00000000" w:rsidDel="00000000" w:rsidP="00000000" w:rsidRDefault="00000000" w:rsidRPr="00000000" w14:paraId="0000002D">
            <w:pPr>
              <w:spacing w:after="300" w:lineRule="auto"/>
              <w:rPr>
                <w:color w:val="525f7f"/>
                <w:sz w:val="24"/>
                <w:szCs w:val="24"/>
              </w:rPr>
            </w:pPr>
            <w:r w:rsidDel="00000000" w:rsidR="00000000" w:rsidRPr="00000000">
              <w:rPr>
                <w:color w:val="525f7f"/>
                <w:sz w:val="24"/>
                <w:szCs w:val="24"/>
                <w:rtl w:val="0"/>
              </w:rPr>
              <w:t xml:space="preserve">160</w:t>
            </w:r>
          </w:p>
        </w:tc>
        <w:tc>
          <w:tcPr>
            <w:tcBorders>
              <w:top w:color="000000" w:space="0" w:sz="0" w:val="nil"/>
              <w:left w:color="000000" w:space="0" w:sz="0" w:val="nil"/>
              <w:bottom w:color="656363" w:space="0" w:sz="12" w:val="single"/>
              <w:right w:color="656363" w:space="0" w:sz="12" w:val="single"/>
            </w:tcBorders>
            <w:tcMar>
              <w:top w:w="80.0" w:type="dxa"/>
              <w:left w:w="160.0" w:type="dxa"/>
              <w:bottom w:w="80.0" w:type="dxa"/>
              <w:right w:w="160.0" w:type="dxa"/>
            </w:tcMar>
            <w:vAlign w:val="top"/>
          </w:tcPr>
          <w:p w:rsidR="00000000" w:rsidDel="00000000" w:rsidP="00000000" w:rsidRDefault="00000000" w:rsidRPr="00000000" w14:paraId="0000002E">
            <w:pPr>
              <w:spacing w:after="300" w:lineRule="auto"/>
              <w:rPr>
                <w:color w:val="525f7f"/>
                <w:sz w:val="24"/>
                <w:szCs w:val="24"/>
              </w:rPr>
            </w:pPr>
            <w:r w:rsidDel="00000000" w:rsidR="00000000" w:rsidRPr="00000000">
              <w:rPr>
                <w:color w:val="525f7f"/>
                <w:sz w:val="24"/>
                <w:szCs w:val="24"/>
                <w:rtl w:val="0"/>
              </w:rPr>
              <w:t xml:space="preserve">137.99</w:t>
            </w:r>
          </w:p>
        </w:tc>
        <w:tc>
          <w:tcPr>
            <w:tcBorders>
              <w:top w:color="000000" w:space="0" w:sz="0" w:val="nil"/>
              <w:left w:color="000000" w:space="0" w:sz="0" w:val="nil"/>
              <w:bottom w:color="656363" w:space="0" w:sz="12" w:val="single"/>
              <w:right w:color="656363" w:space="0" w:sz="12" w:val="single"/>
            </w:tcBorders>
            <w:tcMar>
              <w:top w:w="80.0" w:type="dxa"/>
              <w:left w:w="160.0" w:type="dxa"/>
              <w:bottom w:w="80.0" w:type="dxa"/>
              <w:right w:w="160.0" w:type="dxa"/>
            </w:tcMar>
            <w:vAlign w:val="top"/>
          </w:tcPr>
          <w:p w:rsidR="00000000" w:rsidDel="00000000" w:rsidP="00000000" w:rsidRDefault="00000000" w:rsidRPr="00000000" w14:paraId="0000002F">
            <w:pPr>
              <w:spacing w:after="300" w:lineRule="auto"/>
              <w:rPr>
                <w:color w:val="525f7f"/>
                <w:sz w:val="24"/>
                <w:szCs w:val="24"/>
              </w:rPr>
            </w:pPr>
            <w:r w:rsidDel="00000000" w:rsidR="00000000" w:rsidRPr="00000000">
              <w:rPr>
                <w:color w:val="525f7f"/>
                <w:sz w:val="24"/>
                <w:szCs w:val="24"/>
                <w:rtl w:val="0"/>
              </w:rPr>
              <w:t xml:space="preserve">1.168</w:t>
            </w:r>
          </w:p>
        </w:tc>
        <w:tc>
          <w:tcPr>
            <w:tcBorders>
              <w:top w:color="000000" w:space="0" w:sz="0" w:val="nil"/>
              <w:left w:color="000000" w:space="0" w:sz="0" w:val="nil"/>
              <w:bottom w:color="656363" w:space="0" w:sz="12" w:val="single"/>
              <w:right w:color="656363" w:space="0" w:sz="12" w:val="single"/>
            </w:tcBorders>
            <w:tcMar>
              <w:top w:w="80.0" w:type="dxa"/>
              <w:left w:w="160.0" w:type="dxa"/>
              <w:bottom w:w="80.0" w:type="dxa"/>
              <w:right w:w="160.0" w:type="dxa"/>
            </w:tcMar>
            <w:vAlign w:val="top"/>
          </w:tcPr>
          <w:p w:rsidR="00000000" w:rsidDel="00000000" w:rsidP="00000000" w:rsidRDefault="00000000" w:rsidRPr="00000000" w14:paraId="00000030">
            <w:pPr>
              <w:spacing w:after="300" w:lineRule="auto"/>
              <w:rPr>
                <w:color w:val="525f7f"/>
                <w:sz w:val="24"/>
                <w:szCs w:val="24"/>
              </w:rPr>
            </w:pPr>
            <w:r w:rsidDel="00000000" w:rsidR="00000000" w:rsidRPr="00000000">
              <w:rPr>
                <w:color w:val="525f7f"/>
                <w:sz w:val="24"/>
                <w:szCs w:val="24"/>
                <w:rtl w:val="0"/>
              </w:rPr>
              <w:t xml:space="preserve">Alert</w:t>
            </w:r>
          </w:p>
        </w:tc>
        <w:tc>
          <w:tcPr>
            <w:tcBorders>
              <w:top w:color="000000" w:space="0" w:sz="0" w:val="nil"/>
              <w:left w:color="000000" w:space="0" w:sz="0" w:val="nil"/>
              <w:bottom w:color="656363" w:space="0" w:sz="12" w:val="single"/>
              <w:right w:color="656363" w:space="0" w:sz="12" w:val="single"/>
            </w:tcBorders>
            <w:tcMar>
              <w:top w:w="80.0" w:type="dxa"/>
              <w:left w:w="160.0" w:type="dxa"/>
              <w:bottom w:w="80.0" w:type="dxa"/>
              <w:right w:w="160.0" w:type="dxa"/>
            </w:tcMar>
            <w:vAlign w:val="top"/>
          </w:tcPr>
          <w:p w:rsidR="00000000" w:rsidDel="00000000" w:rsidP="00000000" w:rsidRDefault="00000000" w:rsidRPr="00000000" w14:paraId="00000031">
            <w:pPr>
              <w:spacing w:after="300" w:lineRule="auto"/>
              <w:rPr>
                <w:color w:val="525f7f"/>
                <w:sz w:val="24"/>
                <w:szCs w:val="24"/>
              </w:rPr>
            </w:pPr>
            <w:r w:rsidDel="00000000" w:rsidR="00000000" w:rsidRPr="00000000">
              <w:rPr>
                <w:color w:val="525f7f"/>
                <w:sz w:val="24"/>
                <w:szCs w:val="24"/>
                <w:rtl w:val="0"/>
              </w:rPr>
              <w:t xml:space="preserve">Actual</w:t>
            </w:r>
          </w:p>
        </w:tc>
      </w:tr>
    </w:tbl>
    <w:p w:rsidR="00000000" w:rsidDel="00000000" w:rsidP="00000000" w:rsidRDefault="00000000" w:rsidRPr="00000000" w14:paraId="00000032">
      <w:pPr>
        <w:pStyle w:val="Heading2"/>
        <w:keepNext w:val="0"/>
        <w:keepLines w:val="0"/>
        <w:shd w:fill="f8f9fe" w:val="clear"/>
        <w:spacing w:after="80" w:before="0" w:line="360" w:lineRule="auto"/>
        <w:rPr>
          <w:b w:val="1"/>
          <w:color w:val="32325d"/>
          <w:sz w:val="36"/>
          <w:szCs w:val="36"/>
        </w:rPr>
      </w:pPr>
      <w:bookmarkStart w:colFirst="0" w:colLast="0" w:name="_8ssv2ztbnkmy" w:id="3"/>
      <w:bookmarkEnd w:id="3"/>
      <w:r w:rsidDel="00000000" w:rsidR="00000000" w:rsidRPr="00000000">
        <w:rPr>
          <w:b w:val="1"/>
          <w:color w:val="32325d"/>
          <w:sz w:val="36"/>
          <w:szCs w:val="36"/>
          <w:rtl w:val="0"/>
        </w:rPr>
        <w:t xml:space="preserve">Data Quality</w:t>
      </w:r>
    </w:p>
    <w:p w:rsidR="00000000" w:rsidDel="00000000" w:rsidP="00000000" w:rsidRDefault="00000000" w:rsidRPr="00000000" w14:paraId="00000033">
      <w:pPr>
        <w:shd w:fill="f8f9fe" w:val="clear"/>
        <w:spacing w:after="240" w:line="408" w:lineRule="auto"/>
        <w:rPr>
          <w:color w:val="333333"/>
          <w:sz w:val="26"/>
          <w:szCs w:val="26"/>
        </w:rPr>
      </w:pPr>
      <w:r w:rsidDel="00000000" w:rsidR="00000000" w:rsidRPr="00000000">
        <w:rPr>
          <w:color w:val="333333"/>
          <w:sz w:val="26"/>
          <w:szCs w:val="26"/>
          <w:rtl w:val="0"/>
        </w:rPr>
        <w:t xml:space="preserve">The data has been collected from reliable sources and is updated regularly. However, it is important to note that the accuracy of the data may be affected by various factors, such as the quality of the data collection methods, the availability of data, and the volatility of the market.</w:t>
      </w:r>
    </w:p>
    <w:p w:rsidR="00000000" w:rsidDel="00000000" w:rsidP="00000000" w:rsidRDefault="00000000" w:rsidRPr="00000000" w14:paraId="00000034">
      <w:pPr>
        <w:shd w:fill="f8f9fe" w:val="clear"/>
        <w:spacing w:after="240" w:line="408" w:lineRule="auto"/>
        <w:rPr>
          <w:color w:val="333333"/>
          <w:sz w:val="26"/>
          <w:szCs w:val="26"/>
        </w:rPr>
      </w:pPr>
      <w:r w:rsidDel="00000000" w:rsidR="00000000" w:rsidRPr="00000000">
        <w:rPr>
          <w:color w:val="333333"/>
          <w:sz w:val="26"/>
          <w:szCs w:val="26"/>
          <w:rtl w:val="0"/>
        </w:rPr>
        <w:t xml:space="preserve">It is recommended that users of the dataset carefully review and validate the data before using it for any analysis or decision-making purposes. Additionally, it is recommended to consult with experts in the field of crop prices and market analysis for further guidance.</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525f7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