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hu231jtfbmdr" w:id="0"/>
      <w:bookmarkEnd w:id="0"/>
      <w:r w:rsidDel="00000000" w:rsidR="00000000" w:rsidRPr="00000000">
        <w:rPr>
          <w:b w:val="1"/>
          <w:sz w:val="34"/>
          <w:szCs w:val="34"/>
          <w:rtl w:val="0"/>
        </w:rPr>
        <w:t xml:space="preserve">Problem Statement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 do long-term tillage practices, cropping systems, and nitrogen fertilizer rates influence surface soil pH and exchangeable cation concentrations in dryland cropping systems under semiarid conditions?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ymidl9jsg9e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Approaches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Comparative Analysis</w:t>
      </w:r>
      <w:r w:rsidDel="00000000" w:rsidR="00000000" w:rsidRPr="00000000">
        <w:rPr>
          <w:rtl w:val="0"/>
        </w:rPr>
        <w:t xml:space="preserve"> – Analyze mean changes in soil properties across different tillage, rotation, and nitrogen treatments.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ANOVA or Mixed Models</w:t>
      </w:r>
      <w:r w:rsidDel="00000000" w:rsidR="00000000" w:rsidRPr="00000000">
        <w:rPr>
          <w:rtl w:val="0"/>
        </w:rPr>
        <w:t xml:space="preserve"> – Assess treatment effects while controlling for block and replication.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Time Series Comparison</w:t>
      </w:r>
      <w:r w:rsidDel="00000000" w:rsidR="00000000" w:rsidRPr="00000000">
        <w:rPr>
          <w:rtl w:val="0"/>
        </w:rPr>
        <w:t xml:space="preserve"> – Evaluate 1983 to 1999 deltas to understand long-term soil chemistry shifts.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Principal Component Analysis (PCA)</w:t>
      </w:r>
      <w:r w:rsidDel="00000000" w:rsidR="00000000" w:rsidRPr="00000000">
        <w:rPr>
          <w:rtl w:val="0"/>
        </w:rPr>
        <w:t xml:space="preserve"> – Explore major gradients in soil chemistry influenced by treatments.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Correlation and Regression</w:t>
      </w:r>
      <w:r w:rsidDel="00000000" w:rsidR="00000000" w:rsidRPr="00000000">
        <w:rPr>
          <w:rtl w:val="0"/>
        </w:rPr>
        <w:t xml:space="preserve"> – Identify relationships between soil pH changes and shifts in cation concentrations.</w:t>
        <w:br w:type="textWrapping"/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1r7p934ln62h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Use Cases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Soil Management Planning</w:t>
      </w:r>
      <w:r w:rsidDel="00000000" w:rsidR="00000000" w:rsidRPr="00000000">
        <w:rPr>
          <w:rtl w:val="0"/>
        </w:rPr>
        <w:t xml:space="preserve"> – Develop guidelines for maintaining or improving soil health in dryland farms.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Sustainable Agriculture Research</w:t>
      </w:r>
      <w:r w:rsidDel="00000000" w:rsidR="00000000" w:rsidRPr="00000000">
        <w:rPr>
          <w:rtl w:val="0"/>
        </w:rPr>
        <w:t xml:space="preserve"> – Support studies on the sustainability of intensive cropping systems.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Fertilizer Optimization</w:t>
      </w:r>
      <w:r w:rsidDel="00000000" w:rsidR="00000000" w:rsidRPr="00000000">
        <w:rPr>
          <w:rtl w:val="0"/>
        </w:rPr>
        <w:t xml:space="preserve"> – Inform nitrogen application strategies that avoid long-term soil degradation.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Extension Services and Farmer Outreach</w:t>
      </w:r>
      <w:r w:rsidDel="00000000" w:rsidR="00000000" w:rsidRPr="00000000">
        <w:rPr>
          <w:rtl w:val="0"/>
        </w:rPr>
        <w:t xml:space="preserve"> – Translate findings into actionable recommendations for farmers.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Environmental Policy and Conservation</w:t>
      </w:r>
      <w:r w:rsidDel="00000000" w:rsidR="00000000" w:rsidRPr="00000000">
        <w:rPr>
          <w:rtl w:val="0"/>
        </w:rPr>
        <w:t xml:space="preserve"> – Provide scientific evidence for tillage and fertilizer regulations in semi-arid zones.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