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g834rmybdz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structural agricultural indicators vary across EU countries, and what do these variations reveal about the effectiveness and applicability of a unified Common Agricultural Policy?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Descriptive Statistics &amp; Visualizations:</w:t>
      </w:r>
      <w:r w:rsidDel="00000000" w:rsidR="00000000" w:rsidRPr="00000000">
        <w:rPr>
          <w:rtl w:val="0"/>
        </w:rPr>
        <w:t xml:space="preserve"> Summarize and visualize farm sizes, outputs, and labor inputs across countries.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Clustering Analysis:</w:t>
      </w:r>
      <w:r w:rsidDel="00000000" w:rsidR="00000000" w:rsidRPr="00000000">
        <w:rPr>
          <w:rtl w:val="0"/>
        </w:rPr>
        <w:t xml:space="preserve"> Identify country clusters with similar agricultural structures (e.g., high vs. low productivity).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Principal Component Analysis (PCA):</w:t>
      </w:r>
      <w:r w:rsidDel="00000000" w:rsidR="00000000" w:rsidRPr="00000000">
        <w:rPr>
          <w:rtl w:val="0"/>
        </w:rPr>
        <w:t xml:space="preserve"> Reduce dimensionality to determine key features differentiating agricultural sectors.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&amp; Regression:</w:t>
      </w:r>
      <w:r w:rsidDel="00000000" w:rsidR="00000000" w:rsidRPr="00000000">
        <w:rPr>
          <w:rtl w:val="0"/>
        </w:rPr>
        <w:t xml:space="preserve"> Examine the relationship between farm output and labor input or training levels.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Comparative Case Studies:</w:t>
      </w:r>
      <w:r w:rsidDel="00000000" w:rsidR="00000000" w:rsidRPr="00000000">
        <w:rPr>
          <w:rtl w:val="0"/>
        </w:rPr>
        <w:t xml:space="preserve"> Deep-dive into individual countries (e.g., Romania vs. France) to contrast structural differences.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Series Expansion (if updated):</w:t>
      </w:r>
      <w:r w:rsidDel="00000000" w:rsidR="00000000" w:rsidRPr="00000000">
        <w:rPr>
          <w:rtl w:val="0"/>
        </w:rPr>
        <w:t xml:space="preserve"> Evaluate trends over time when newer census data becomes available.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Evaluation:</w:t>
      </w:r>
      <w:r w:rsidDel="00000000" w:rsidR="00000000" w:rsidRPr="00000000">
        <w:rPr>
          <w:rtl w:val="0"/>
        </w:rPr>
        <w:t xml:space="preserve"> Inform EU policy-makers and agricultural economists about disparities that could affect CAP effectiveness.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Capacity Building:</w:t>
      </w:r>
      <w:r w:rsidDel="00000000" w:rsidR="00000000" w:rsidRPr="00000000">
        <w:rPr>
          <w:rtl w:val="0"/>
        </w:rPr>
        <w:t xml:space="preserve"> Identify gaps in agricultural training and labor allocation to inform educational initiatives.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Allocation:</w:t>
      </w:r>
      <w:r w:rsidDel="00000000" w:rsidR="00000000" w:rsidRPr="00000000">
        <w:rPr>
          <w:rtl w:val="0"/>
        </w:rPr>
        <w:t xml:space="preserve"> Aid NGOs or national ministries in targeting investments or aid to fragmented or underperforming sectors.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 Research:</w:t>
      </w:r>
      <w:r w:rsidDel="00000000" w:rsidR="00000000" w:rsidRPr="00000000">
        <w:rPr>
          <w:rtl w:val="0"/>
        </w:rPr>
        <w:t xml:space="preserve"> Serve as a valuable dataset for agrarian studies, EU integration analysis, and labor productivity research.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Visualization:</w:t>
      </w:r>
      <w:r w:rsidDel="00000000" w:rsidR="00000000" w:rsidRPr="00000000">
        <w:rPr>
          <w:rtl w:val="0"/>
        </w:rPr>
        <w:t xml:space="preserve"> Enable creation of choropleth maps showing differences across EU in terms of agricultural structure.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