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g3bke3sjyv2q"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b w:val="1"/>
          <w:rtl w:val="0"/>
        </w:rPr>
        <w:t xml:space="preserve">Description:</w:t>
        <w:br w:type="textWrapping"/>
      </w:r>
      <w:r w:rsidDel="00000000" w:rsidR="00000000" w:rsidRPr="00000000">
        <w:rPr>
          <w:rtl w:val="0"/>
        </w:rPr>
        <w:t xml:space="preserve"> This project investigates the physiological and morphological development of plants grown under two distinct greenhouse conditions: IoT-enabled and traditional. The dataset comprises 30,000 records collected between 2023–2024 at the Agriculture Lab of Tikrit University. The aim is to evaluate the impact of real-time sensor monitoring on plant health and biomass accumulation compared to conventional practices. This analysis supports innovation in precision agriculture and helps identify key growth metrics influenced by environmental monitoring technologies.</w:t>
      </w:r>
    </w:p>
    <w:p w:rsidR="00000000" w:rsidDel="00000000" w:rsidP="00000000" w:rsidRDefault="00000000" w:rsidRPr="00000000" w14:paraId="00000003">
      <w:pPr>
        <w:spacing w:after="240" w:before="240" w:lineRule="auto"/>
        <w:rPr/>
      </w:pPr>
      <w:r w:rsidDel="00000000" w:rsidR="00000000" w:rsidRPr="00000000">
        <w:rPr>
          <w:rtl w:val="0"/>
        </w:rPr>
        <w:t xml:space="preserve">The dataset includes variables such as chlorophyll content, leaf area, biomass (wet and dry weight), root structure, and dry matter percentages. Each sample is tagged with a class label representing its treatment group, enabling supervised learning applications.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Column Descriptions:</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b w:val="1"/>
          <w:rtl w:val="0"/>
        </w:rPr>
        <w:t xml:space="preserve">Random</w:t>
      </w:r>
      <w:r w:rsidDel="00000000" w:rsidR="00000000" w:rsidRPr="00000000">
        <w:rPr>
          <w:rtl w:val="0"/>
        </w:rPr>
        <w:t xml:space="preserve"> – Identifier representing the randomized plant sample batch (e.g., R1, R2, R3).</w:t>
        <w:br w:type="textWrapping"/>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rtl w:val="0"/>
        </w:rPr>
        <w:t xml:space="preserve">ACHP</w:t>
      </w:r>
      <w:r w:rsidDel="00000000" w:rsidR="00000000" w:rsidRPr="00000000">
        <w:rPr>
          <w:rtl w:val="0"/>
        </w:rPr>
        <w:t xml:space="preserve"> – Average chlorophyll content per plant, an indicator of photosynthetic efficiency and overall plant health.</w:t>
        <w:br w:type="textWrapping"/>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PHR</w:t>
      </w:r>
      <w:r w:rsidDel="00000000" w:rsidR="00000000" w:rsidRPr="00000000">
        <w:rPr>
          <w:rtl w:val="0"/>
        </w:rPr>
        <w:t xml:space="preserve"> – Plant height growth rate, measuring the vertical elongation rate over a specific period.</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AWWGV</w:t>
      </w:r>
      <w:r w:rsidDel="00000000" w:rsidR="00000000" w:rsidRPr="00000000">
        <w:rPr>
          <w:rtl w:val="0"/>
        </w:rPr>
        <w:t xml:space="preserve"> – Average wet weight of vegetative growth, representing the fresh mass of above-ground plant parts.</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b w:val="1"/>
          <w:rtl w:val="0"/>
        </w:rPr>
        <w:t xml:space="preserve">ALAP</w:t>
      </w:r>
      <w:r w:rsidDel="00000000" w:rsidR="00000000" w:rsidRPr="00000000">
        <w:rPr>
          <w:rtl w:val="0"/>
        </w:rPr>
        <w:t xml:space="preserve"> – Average leaf area per plant, influencing the plant’s ability to photosynthesize and regulate water loss.</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ANPL</w:t>
      </w:r>
      <w:r w:rsidDel="00000000" w:rsidR="00000000" w:rsidRPr="00000000">
        <w:rPr>
          <w:rtl w:val="0"/>
        </w:rPr>
        <w:t xml:space="preserve"> – Average number of leaves per plant, often associated with developmental stage and foliage density.</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ARD</w:t>
      </w:r>
      <w:r w:rsidDel="00000000" w:rsidR="00000000" w:rsidRPr="00000000">
        <w:rPr>
          <w:rtl w:val="0"/>
        </w:rPr>
        <w:t xml:space="preserve"> – Average root diameter, relevant to water and nutrient absorption capacity.</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ADWR</w:t>
      </w:r>
      <w:r w:rsidDel="00000000" w:rsidR="00000000" w:rsidRPr="00000000">
        <w:rPr>
          <w:rtl w:val="0"/>
        </w:rPr>
        <w:t xml:space="preserve"> – Average dry weight of roots, indicating root biomass after dehydration, a key measure of plant investment in root systems.</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PDMVG</w:t>
      </w:r>
      <w:r w:rsidDel="00000000" w:rsidR="00000000" w:rsidRPr="00000000">
        <w:rPr>
          <w:rtl w:val="0"/>
        </w:rPr>
        <w:t xml:space="preserve"> – Percentage of dry matter in vegetative growth, measuring solid content in shoots.</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ARL</w:t>
      </w:r>
      <w:r w:rsidDel="00000000" w:rsidR="00000000" w:rsidRPr="00000000">
        <w:rPr>
          <w:rtl w:val="0"/>
        </w:rPr>
        <w:t xml:space="preserve"> – Average root length, reflecting root depth and growth potential.</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AWWR</w:t>
      </w:r>
      <w:r w:rsidDel="00000000" w:rsidR="00000000" w:rsidRPr="00000000">
        <w:rPr>
          <w:rtl w:val="0"/>
        </w:rPr>
        <w:t xml:space="preserve"> – Average wet weight of roots, referring to the fresh mass of below-ground parts.</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rtl w:val="0"/>
        </w:rPr>
        <w:t xml:space="preserve">ADWV</w:t>
      </w:r>
      <w:r w:rsidDel="00000000" w:rsidR="00000000" w:rsidRPr="00000000">
        <w:rPr>
          <w:rtl w:val="0"/>
        </w:rPr>
        <w:t xml:space="preserve"> – Average dry weight of vegetative parts, measuring above-ground plant biomass excluding water content.</w:t>
        <w:br w:type="textWrapping"/>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rtl w:val="0"/>
        </w:rPr>
        <w:t xml:space="preserve">PDMRG</w:t>
      </w:r>
      <w:r w:rsidDel="00000000" w:rsidR="00000000" w:rsidRPr="00000000">
        <w:rPr>
          <w:rtl w:val="0"/>
        </w:rPr>
        <w:t xml:space="preserve"> – Percentage of dry matter in root growth, representing the solid content of roots.</w:t>
        <w:br w:type="textWrapping"/>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rtl w:val="0"/>
        </w:rPr>
        <w:t xml:space="preserve">Class</w:t>
      </w:r>
      <w:r w:rsidDel="00000000" w:rsidR="00000000" w:rsidRPr="00000000">
        <w:rPr>
          <w:rtl w:val="0"/>
        </w:rPr>
        <w:t xml:space="preserve"> – Categorical variable indicating the experimental group to which the sample belongs:</w:t>
        <w:br w:type="textWrapping"/>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b w:val="1"/>
          <w:rtl w:val="0"/>
        </w:rPr>
        <w:t xml:space="preserve">SA, SB, SC</w:t>
      </w:r>
      <w:r w:rsidDel="00000000" w:rsidR="00000000" w:rsidRPr="00000000">
        <w:rPr>
          <w:rtl w:val="0"/>
        </w:rPr>
        <w:t xml:space="preserve"> – Traditional Greenhouse</w:t>
        <w:br w:type="textWrapping"/>
      </w:r>
    </w:p>
    <w:p w:rsidR="00000000" w:rsidDel="00000000" w:rsidP="00000000" w:rsidRDefault="00000000" w:rsidRPr="00000000" w14:paraId="00000014">
      <w:pPr>
        <w:numPr>
          <w:ilvl w:val="1"/>
          <w:numId w:val="2"/>
        </w:numPr>
        <w:spacing w:after="240" w:before="0" w:beforeAutospacing="0" w:lineRule="auto"/>
        <w:ind w:left="1440" w:hanging="360"/>
      </w:pPr>
      <w:r w:rsidDel="00000000" w:rsidR="00000000" w:rsidRPr="00000000">
        <w:rPr>
          <w:b w:val="1"/>
          <w:rtl w:val="0"/>
        </w:rPr>
        <w:t xml:space="preserve">TA, TB, TC</w:t>
      </w:r>
      <w:r w:rsidDel="00000000" w:rsidR="00000000" w:rsidRPr="00000000">
        <w:rPr>
          <w:rtl w:val="0"/>
        </w:rPr>
        <w:t xml:space="preserve"> – IoT-enabled Greenhouse</w:t>
        <w:br w:type="textWrapping"/>
      </w:r>
    </w:p>
    <w:p w:rsidR="00000000" w:rsidDel="00000000" w:rsidP="00000000" w:rsidRDefault="00000000" w:rsidRPr="00000000" w14:paraId="00000015">
      <w:pPr>
        <w:spacing w:after="240" w:before="240" w:lineRule="auto"/>
        <w:rPr>
          <w:b w:val="1"/>
        </w:rPr>
      </w:pPr>
      <w:r w:rsidDel="00000000" w:rsidR="00000000" w:rsidRPr="00000000">
        <w:rPr>
          <w:b w:val="1"/>
          <w:rtl w:val="0"/>
        </w:rPr>
        <w:t xml:space="preserve">Limitations:</w:t>
      </w:r>
    </w:p>
    <w:p w:rsidR="00000000" w:rsidDel="00000000" w:rsidP="00000000" w:rsidRDefault="00000000" w:rsidRPr="00000000" w14:paraId="00000016">
      <w:pPr>
        <w:numPr>
          <w:ilvl w:val="0"/>
          <w:numId w:val="1"/>
        </w:numPr>
        <w:spacing w:after="0" w:afterAutospacing="0" w:before="240" w:lineRule="auto"/>
        <w:ind w:left="720" w:hanging="360"/>
      </w:pPr>
      <w:r w:rsidDel="00000000" w:rsidR="00000000" w:rsidRPr="00000000">
        <w:rPr>
          <w:rtl w:val="0"/>
        </w:rPr>
        <w:t xml:space="preserve">The dataset lacks metadata on the specific plant species being measured, which may affect the generalizability of findings.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Environmental variables such as light intensity, CO₂ concentration, or nutrient inputs are not included.</w:t>
        <w:br w:type="textWrapping"/>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The duration or growth stage at the time of measurement is not specified, which may impact temporal modeling.</w:t>
        <w:br w:type="textWrapping"/>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The dataset assumes uniform sampling conditions within each class, which may overlook microclimatic variations.</w:t>
        <w:br w:type="textWrapping"/>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rtl w:val="0"/>
        </w:rPr>
        <w:t xml:space="preserve">There is no longitudinal tracking of individual plants across time, limiting growth curve modeling.</w:t>
        <w:br w:type="textWrapping"/>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