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50jiymamrtrf" w:id="0"/>
      <w:bookmarkEnd w:id="0"/>
      <w:r w:rsidDel="00000000" w:rsidR="00000000" w:rsidRPr="00000000">
        <w:rPr>
          <w:b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b w:val="1"/>
          <w:rtl w:val="0"/>
        </w:rPr>
        <w:t xml:space="preserve">Indian Agriculture Analysis</w:t>
        <w:br w:type="textWrapping"/>
      </w:r>
      <w:r w:rsidDel="00000000" w:rsidR="00000000" w:rsidRPr="00000000">
        <w:rPr>
          <w:rtl w:val="0"/>
        </w:rPr>
        <w:t xml:space="preserve"> Agriculture plays a vital role in India’s economy, contributing significantly to employment and GDP. With the growing pressure of population, climate change, urbanization, and water scarcity, understanding trends in agricultural output is crucial for ensuring food security, resource management, and policy planning.</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aims to </w:t>
      </w:r>
      <w:r w:rsidDel="00000000" w:rsidR="00000000" w:rsidRPr="00000000">
        <w:rPr>
          <w:b w:val="1"/>
          <w:rtl w:val="0"/>
        </w:rPr>
        <w:t xml:space="preserve">analyze crop production patterns and yield efficiency across Indian districts</w:t>
      </w:r>
      <w:r w:rsidDel="00000000" w:rsidR="00000000" w:rsidRPr="00000000">
        <w:rPr>
          <w:rtl w:val="0"/>
        </w:rPr>
        <w:t xml:space="preserve"> over time. It will investigate how key crops have performed in terms of area sown, production volume, and yield (productivity) across different states and years. By comparing crops such as rice, wheat, pulses, oilseeds, cotton, sugarcane, fruits, and vegetables, we aim to uncover:</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Productivity trends across states and crops</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Impact of crop variety, irrigation, or region on yield</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Dominant crops in different zones and how they shift over time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Relationship between area sown and yield outcomes</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Potential underperformance zones for high-value crops</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The insights from this project can support policymakers and agricultural economists in improving resource allocation, identifying crop gaps, and planning for better food sustainability strategies.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