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1p4ib8glzn3p" w:id="0"/>
      <w:bookmarkEnd w:id="0"/>
      <w:r w:rsidDel="00000000" w:rsidR="00000000" w:rsidRPr="00000000">
        <w:rPr>
          <w:b w:val="1"/>
          <w:color w:val="000000"/>
          <w:sz w:val="26"/>
          <w:szCs w:val="26"/>
          <w:rtl w:val="0"/>
        </w:rPr>
        <w:t xml:space="preserve">Problem Statement</w:t>
      </w:r>
    </w:p>
    <w:p w:rsidR="00000000" w:rsidDel="00000000" w:rsidP="00000000" w:rsidRDefault="00000000" w:rsidRPr="00000000" w14:paraId="00000002">
      <w:pPr>
        <w:spacing w:after="240" w:before="240" w:lineRule="auto"/>
        <w:rPr/>
      </w:pPr>
      <w:r w:rsidDel="00000000" w:rsidR="00000000" w:rsidRPr="00000000">
        <w:rPr>
          <w:rtl w:val="0"/>
        </w:rPr>
        <w:t xml:space="preserve">To document and map mineral rights ownership and claims across National Forest System lands where subsurface estates differ from surface estates, enabling legal compliance, environmental risk assessment, and informed land and resource management decisions.</w:t>
      </w:r>
    </w:p>
    <w:p w:rsidR="00000000" w:rsidDel="00000000" w:rsidP="00000000" w:rsidRDefault="00000000" w:rsidRPr="00000000" w14:paraId="00000003">
      <w:pPr>
        <w:spacing w:after="240" w:before="240" w:lineRule="auto"/>
        <w:rPr>
          <w:b w:val="1"/>
          <w:color w:val="000000"/>
          <w:sz w:val="26"/>
          <w:szCs w:val="26"/>
        </w:rPr>
      </w:pPr>
      <w:r w:rsidDel="00000000" w:rsidR="00000000" w:rsidRPr="00000000">
        <w:rPr>
          <w:b w:val="1"/>
          <w:color w:val="000000"/>
          <w:sz w:val="26"/>
          <w:szCs w:val="26"/>
          <w:rtl w:val="0"/>
        </w:rPr>
        <w:t xml:space="preserve">Approaches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Ownership Classification</w:t>
      </w:r>
      <w:r w:rsidDel="00000000" w:rsidR="00000000" w:rsidRPr="00000000">
        <w:rPr>
          <w:rtl w:val="0"/>
        </w:rPr>
        <w:t xml:space="preserve">: Group by claimant type or right type to assess control over mineral resources.</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rtl w:val="0"/>
        </w:rPr>
        <w:t xml:space="preserve">Temporal Analysis</w:t>
      </w:r>
      <w:r w:rsidDel="00000000" w:rsidR="00000000" w:rsidRPr="00000000">
        <w:rPr>
          <w:rtl w:val="0"/>
        </w:rPr>
        <w:t xml:space="preserve">: Evaluate trends in mineral rights acquisitions and expirations over time.</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Overlay with Surface Ownership</w:t>
      </w:r>
      <w:r w:rsidDel="00000000" w:rsidR="00000000" w:rsidRPr="00000000">
        <w:rPr>
          <w:rtl w:val="0"/>
        </w:rPr>
        <w:t xml:space="preserve">: Compare with surface ownership data to identify potential conflicts or coordination requirements.</w:t>
        <w:br w:type="textWrapping"/>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b w:val="1"/>
          <w:rtl w:val="0"/>
        </w:rPr>
        <w:t xml:space="preserve">Resource Distribution Mapping</w:t>
      </w:r>
      <w:r w:rsidDel="00000000" w:rsidR="00000000" w:rsidRPr="00000000">
        <w:rPr>
          <w:rtl w:val="0"/>
        </w:rPr>
        <w:t xml:space="preserve">: Link mineral types to geographic zones for strategic resource planning.</w:t>
        <w:br w:type="textWrapping"/>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8ao1ley3imgn" w:id="1"/>
      <w:bookmarkEnd w:id="1"/>
      <w:r w:rsidDel="00000000" w:rsidR="00000000" w:rsidRPr="00000000">
        <w:rPr>
          <w:b w:val="1"/>
          <w:color w:val="000000"/>
          <w:sz w:val="26"/>
          <w:szCs w:val="26"/>
          <w:rtl w:val="0"/>
        </w:rPr>
        <w:t xml:space="preserve">Use Cases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rtl w:val="0"/>
        </w:rPr>
        <w:t xml:space="preserve">Mineral Exploration Management</w:t>
      </w:r>
      <w:r w:rsidDel="00000000" w:rsidR="00000000" w:rsidRPr="00000000">
        <w:rPr>
          <w:rtl w:val="0"/>
        </w:rPr>
        <w:t xml:space="preserve">: Aid in determining where mineral extraction is permitted or restricted.</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Conflict Resolution</w:t>
      </w:r>
      <w:r w:rsidDel="00000000" w:rsidR="00000000" w:rsidRPr="00000000">
        <w:rPr>
          <w:rtl w:val="0"/>
        </w:rPr>
        <w:t xml:space="preserve">: Identify discrepancies or legal overlaps between surface and subsurface ownership.</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Environmental Impact Analysis</w:t>
      </w:r>
      <w:r w:rsidDel="00000000" w:rsidR="00000000" w:rsidRPr="00000000">
        <w:rPr>
          <w:rtl w:val="0"/>
        </w:rPr>
        <w:t xml:space="preserve">: Assess areas at risk of environmental degradation due to mining.</w:t>
        <w:br w:type="textWrapping"/>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rtl w:val="0"/>
        </w:rPr>
        <w:t xml:space="preserve">Policy Planning</w:t>
      </w:r>
      <w:r w:rsidDel="00000000" w:rsidR="00000000" w:rsidRPr="00000000">
        <w:rPr>
          <w:rtl w:val="0"/>
        </w:rPr>
        <w:t xml:space="preserve">: Inform land use policy, conservation zoning, and public engagement strategies.</w:t>
        <w:br w:type="textWrapping"/>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