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m1ga370d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delineates </w:t>
      </w:r>
      <w:r w:rsidDel="00000000" w:rsidR="00000000" w:rsidRPr="00000000">
        <w:rPr>
          <w:b w:val="1"/>
          <w:rtl w:val="0"/>
        </w:rPr>
        <w:t xml:space="preserve">subsurface mineral rights parcels</w:t>
      </w:r>
      <w:r w:rsidDel="00000000" w:rsidR="00000000" w:rsidRPr="00000000">
        <w:rPr>
          <w:rtl w:val="0"/>
        </w:rPr>
        <w:t xml:space="preserve"> within U.S. National Forest System lands, specifically where the </w:t>
      </w:r>
      <w:r w:rsidDel="00000000" w:rsidR="00000000" w:rsidRPr="00000000">
        <w:rPr>
          <w:b w:val="1"/>
          <w:rtl w:val="0"/>
        </w:rPr>
        <w:t xml:space="preserve">subsurface estate (mineral rights) is owned or managed separately</w:t>
      </w:r>
      <w:r w:rsidDel="00000000" w:rsidR="00000000" w:rsidRPr="00000000">
        <w:rPr>
          <w:rtl w:val="0"/>
        </w:rPr>
        <w:t xml:space="preserve"> from the surface estate. These rights are typically associated with legal claims, leases, or historical grants that permit exploration or extraction of minerals. The dataset is crucial for </w:t>
      </w:r>
      <w:r w:rsidDel="00000000" w:rsidR="00000000" w:rsidRPr="00000000">
        <w:rPr>
          <w:b w:val="1"/>
          <w:rtl w:val="0"/>
        </w:rPr>
        <w:t xml:space="preserve">resource management, legal compliance, and planning</w:t>
      </w:r>
      <w:r w:rsidDel="00000000" w:rsidR="00000000" w:rsidRPr="00000000">
        <w:rPr>
          <w:rtl w:val="0"/>
        </w:rPr>
        <w:t xml:space="preserve"> related to mining activities, environmental conservation, and land-use policy.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cfu2mnp3q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 Descriptions and Breakdown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a8yh9hbycb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Identification &amp; Legal Ownership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OBJECTID / SUBSURFACERIGHTID</w:t>
      </w:r>
      <w:r w:rsidDel="00000000" w:rsidR="00000000" w:rsidRPr="00000000">
        <w:rPr>
          <w:rtl w:val="0"/>
        </w:rPr>
        <w:t xml:space="preserve"> – Unique identifiers for each mineral rights parcel.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CLAIMANTTYPE</w:t>
      </w:r>
      <w:r w:rsidDel="00000000" w:rsidR="00000000" w:rsidRPr="00000000">
        <w:rPr>
          <w:rtl w:val="0"/>
        </w:rPr>
        <w:t xml:space="preserve"> – Classification of the claimant (e.g., individual, corporation, government).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CASENAME / LOCALCASEID</w:t>
      </w:r>
      <w:r w:rsidDel="00000000" w:rsidR="00000000" w:rsidRPr="00000000">
        <w:rPr>
          <w:rtl w:val="0"/>
        </w:rPr>
        <w:t xml:space="preserve"> – Legal case name and ID that formalizes the mineral rights claim.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CASECLASS</w:t>
      </w:r>
      <w:r w:rsidDel="00000000" w:rsidR="00000000" w:rsidRPr="00000000">
        <w:rPr>
          <w:rtl w:val="0"/>
        </w:rPr>
        <w:t xml:space="preserve"> – Legal classification of the case (e.g., lease, reservation, withdrawal).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RIGHTNAME / RIGHTTYPE</w:t>
      </w:r>
      <w:r w:rsidDel="00000000" w:rsidR="00000000" w:rsidRPr="00000000">
        <w:rPr>
          <w:rtl w:val="0"/>
        </w:rPr>
        <w:t xml:space="preserve"> – Name and type of subsurface right (e.g., oil lease, mineral reservation).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STATUSMETHOD</w:t>
      </w:r>
      <w:r w:rsidDel="00000000" w:rsidR="00000000" w:rsidRPr="00000000">
        <w:rPr>
          <w:rtl w:val="0"/>
        </w:rPr>
        <w:t xml:space="preserve"> – How the legal or operational status of the right was determined.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38o041k6i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Temporal Information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EXPIRATIONDATE</w:t>
      </w:r>
      <w:r w:rsidDel="00000000" w:rsidR="00000000" w:rsidRPr="00000000">
        <w:rPr>
          <w:rtl w:val="0"/>
        </w:rPr>
        <w:t xml:space="preserve"> – Date when the mineral rights lease or claim expires.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ACTIONDATE</w:t>
      </w:r>
      <w:r w:rsidDel="00000000" w:rsidR="00000000" w:rsidRPr="00000000">
        <w:rPr>
          <w:rtl w:val="0"/>
        </w:rPr>
        <w:t xml:space="preserve"> – Date when the mineral rights action (e.g., acquisition, lease) occurred.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ACTIONCALYEAR / ACTIONFISCALYEAR</w:t>
      </w:r>
      <w:r w:rsidDel="00000000" w:rsidR="00000000" w:rsidRPr="00000000">
        <w:rPr>
          <w:rtl w:val="0"/>
        </w:rPr>
        <w:t xml:space="preserve"> – Calendar and fiscal year corresponding to the action date.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fkv594ui8f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Administrative &amp; Land Unit Information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– Forest Service administrative region associated with the parcel.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NFS_LANDUNIT_FK</w:t>
      </w:r>
      <w:r w:rsidDel="00000000" w:rsidR="00000000" w:rsidRPr="00000000">
        <w:rPr>
          <w:rtl w:val="0"/>
        </w:rPr>
        <w:t xml:space="preserve"> – Foreign key referencing the associated National Forest System land unit.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– Additional notes on the parcel or legal case.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os7457uwb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Acreage &amp; Mineral Information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OFFICIAL_ACRES</w:t>
      </w:r>
      <w:r w:rsidDel="00000000" w:rsidR="00000000" w:rsidRPr="00000000">
        <w:rPr>
          <w:rtl w:val="0"/>
        </w:rPr>
        <w:t xml:space="preserve"> – Legally recorded size of the subsurface parcel.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GIS_ACRES</w:t>
      </w:r>
      <w:r w:rsidDel="00000000" w:rsidR="00000000" w:rsidRPr="00000000">
        <w:rPr>
          <w:rtl w:val="0"/>
        </w:rPr>
        <w:t xml:space="preserve"> – Geospatially calculated size based on parcel geometry.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MINERALS</w:t>
      </w:r>
      <w:r w:rsidDel="00000000" w:rsidR="00000000" w:rsidRPr="00000000">
        <w:rPr>
          <w:rtl w:val="0"/>
        </w:rPr>
        <w:t xml:space="preserve"> – Type(s) of minerals associated with the rights (e.g., coal, gold, oil).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tlg4harulk8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Geometry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SHAPEAREA / SHAPELEN</w:t>
      </w:r>
      <w:r w:rsidDel="00000000" w:rsidR="00000000" w:rsidRPr="00000000">
        <w:rPr>
          <w:rtl w:val="0"/>
        </w:rPr>
        <w:t xml:space="preserve"> – Geospatial area and perimeter of the mineral rights parcel.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includes subsurface parcels </w:t>
      </w:r>
      <w:r w:rsidDel="00000000" w:rsidR="00000000" w:rsidRPr="00000000">
        <w:rPr>
          <w:b w:val="1"/>
          <w:rtl w:val="0"/>
        </w:rPr>
        <w:t xml:space="preserve">distinct from surface estate</w:t>
      </w:r>
      <w:r w:rsidDel="00000000" w:rsidR="00000000" w:rsidRPr="00000000">
        <w:rPr>
          <w:rtl w:val="0"/>
        </w:rPr>
        <w:t xml:space="preserve">; locations where subsurface and surface ownership are the same may not appear.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regions or units may have updated or complete data on subsurface rights.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complexity and variability across jurisdictions can make interpretation challenging without legal context.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dates may not reflect real-time updates from legal filings or amendments.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