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lusz1c69wc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seeks to determine how different combinations of stover harvest intensity, tillage, and crop rotation influence the long-term sustainability of corn-based agroecosystems in Iowa, particularly in terms of: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 health (organic matter, pH, compaction, carbon/nitrogen content)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productivity (grain and biomass yields)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resilience (impacts of weather variability)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mz0p5hw3l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Statistical analysis and mixed-effects models</w:t>
      </w:r>
      <w:r w:rsidDel="00000000" w:rsidR="00000000" w:rsidRPr="00000000">
        <w:rPr>
          <w:rtl w:val="0"/>
        </w:rPr>
        <w:t xml:space="preserve"> to analyze repeated measures across years and plot structures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Multivariate analysis (PCA)</w:t>
      </w:r>
      <w:r w:rsidDel="00000000" w:rsidR="00000000" w:rsidRPr="00000000">
        <w:rPr>
          <w:rtl w:val="0"/>
        </w:rPr>
        <w:t xml:space="preserve"> to reduce dimensionality of soil health variables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modeling</w:t>
      </w:r>
      <w:r w:rsidDel="00000000" w:rsidR="00000000" w:rsidRPr="00000000">
        <w:rPr>
          <w:rtl w:val="0"/>
        </w:rPr>
        <w:t xml:space="preserve"> to correlate soil quality metrics with yield under varying treatments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Time-series visualizations</w:t>
      </w:r>
      <w:r w:rsidDel="00000000" w:rsidR="00000000" w:rsidRPr="00000000">
        <w:rPr>
          <w:rtl w:val="0"/>
        </w:rPr>
        <w:t xml:space="preserve"> for trends in weather, yield, and soil metrics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fx7lm7hg3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best practices for sustainable stover harvesting in bioenergy production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soil carbon sequestration potentials under conservation tillage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Guiding crop rotation strategies to maintain soil fertility in monoculture vs. polyculture systems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decision-making in regenerative agriculture and precision nutrient management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p2yr2y12d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Discontinued treatments</w:t>
      </w:r>
      <w:r w:rsidDel="00000000" w:rsidR="00000000" w:rsidRPr="00000000">
        <w:rPr>
          <w:rtl w:val="0"/>
        </w:rPr>
        <w:t xml:space="preserve">: The no-till, no-harvest system was dropped in 2012 due to poor performance, reducing completeness of the factorial design.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Location-specific</w:t>
      </w:r>
      <w:r w:rsidDel="00000000" w:rsidR="00000000" w:rsidRPr="00000000">
        <w:rPr>
          <w:rtl w:val="0"/>
        </w:rPr>
        <w:t xml:space="preserve">: Data is limited to one site in central Iowa, which may not generalize to other soil-climate regions.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gaps</w:t>
      </w:r>
      <w:r w:rsidDel="00000000" w:rsidR="00000000" w:rsidRPr="00000000">
        <w:rPr>
          <w:rtl w:val="0"/>
        </w:rPr>
        <w:t xml:space="preserve">: Not all variables were measured each year across all plots.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diversity</w:t>
      </w:r>
      <w:r w:rsidDel="00000000" w:rsidR="00000000" w:rsidRPr="00000000">
        <w:rPr>
          <w:rtl w:val="0"/>
        </w:rPr>
        <w:t xml:space="preserve">: Some yield datasets are limited to corn phases only and exclude associated crops in rotation (soybean, wheat, alfalfa).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Biochar scope</w:t>
      </w:r>
      <w:r w:rsidDel="00000000" w:rsidR="00000000" w:rsidRPr="00000000">
        <w:rPr>
          <w:rtl w:val="0"/>
        </w:rPr>
        <w:t xml:space="preserve">: Biochar application was limited in scope to specific plots, reducing statistical power for broad conclusions.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