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D3753" w14:textId="77777777" w:rsidR="005A5891" w:rsidRPr="005A5891" w:rsidRDefault="005A5891" w:rsidP="005A5891">
      <w:pPr>
        <w:pStyle w:val="a7"/>
        <w:spacing w:after="0" w:line="360" w:lineRule="auto"/>
        <w:ind w:left="-567" w:right="-567" w:firstLine="680"/>
        <w:contextualSpacing w:val="0"/>
        <w:rPr>
          <w:rFonts w:ascii="Times New Roman" w:hAnsi="Times New Roman" w:cs="Times New Roman"/>
        </w:rPr>
      </w:pPr>
      <w:r w:rsidRPr="005A5891">
        <w:rPr>
          <w:rFonts w:ascii="Times New Roman" w:hAnsi="Times New Roman" w:cs="Times New Roman"/>
        </w:rPr>
        <w:t>3 ЭКОНОМИЧЕСКАЯ ЧАСТЬ</w:t>
      </w:r>
    </w:p>
    <w:p w14:paraId="4190227D" w14:textId="77777777" w:rsidR="005A5891" w:rsidRPr="005A5891" w:rsidRDefault="005A5891" w:rsidP="005A5891">
      <w:pPr>
        <w:spacing w:after="0" w:line="360" w:lineRule="auto"/>
        <w:ind w:right="-567"/>
        <w:rPr>
          <w:lang w:eastAsia="en-US"/>
        </w:rPr>
      </w:pPr>
    </w:p>
    <w:p w14:paraId="5187E180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color w:val="auto"/>
          <w:szCs w:val="28"/>
        </w:rPr>
      </w:pPr>
      <w:r w:rsidRPr="005A5891">
        <w:rPr>
          <w:color w:val="auto"/>
          <w:szCs w:val="28"/>
        </w:rPr>
        <w:t xml:space="preserve">Разработка бюджета денежных потоков (cash flow) проводится с целью определения экономической эффективности проекта разработки программного продукта. Проект предполагает разработку веб-интерфейса с конструктором домов и системой личного кабинета для строительного предприятия. Данный инструмент направлен на привлечение клиентов и повышение конверсии посетителей в заказчиков за счет прозрачности процесса. </w:t>
      </w:r>
    </w:p>
    <w:p w14:paraId="64E2C39D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color w:val="auto"/>
          <w:szCs w:val="28"/>
        </w:rPr>
      </w:pPr>
      <w:r w:rsidRPr="005A5891">
        <w:rPr>
          <w:color w:val="auto"/>
          <w:szCs w:val="28"/>
        </w:rPr>
        <w:t xml:space="preserve">Для построения финансового плана использовались исходные данные, представленные в таблице 1. В качестве цены продажи (среднего чека) учитывается средняя прибыль компании от реализации одного строительного проекта, привлеченного через разработанный веб-конструктор. </w:t>
      </w:r>
    </w:p>
    <w:p w14:paraId="6A774F40" w14:textId="77777777" w:rsidR="005A5891" w:rsidRPr="005A5891" w:rsidRDefault="005A5891" w:rsidP="005A5891">
      <w:pPr>
        <w:spacing w:after="0" w:line="360" w:lineRule="auto"/>
        <w:ind w:left="0" w:right="0" w:firstLine="709"/>
        <w:rPr>
          <w:color w:val="auto"/>
          <w:szCs w:val="28"/>
        </w:rPr>
      </w:pPr>
    </w:p>
    <w:p w14:paraId="7E2835B2" w14:textId="77777777" w:rsidR="005A5891" w:rsidRPr="005A5891" w:rsidRDefault="005A5891" w:rsidP="005A5891">
      <w:pPr>
        <w:spacing w:after="0" w:line="360" w:lineRule="auto"/>
        <w:ind w:left="-567" w:right="0" w:firstLine="0"/>
        <w:rPr>
          <w:color w:val="auto"/>
          <w:szCs w:val="28"/>
        </w:rPr>
      </w:pPr>
      <w:r w:rsidRPr="005A5891">
        <w:rPr>
          <w:color w:val="auto"/>
          <w:szCs w:val="28"/>
        </w:rPr>
        <w:t>Таблица 20 – Исходные данные</w:t>
      </w:r>
    </w:p>
    <w:tbl>
      <w:tblPr>
        <w:tblW w:w="10028" w:type="dxa"/>
        <w:tblInd w:w="-600" w:type="dxa"/>
        <w:tblLook w:val="04A0" w:firstRow="1" w:lastRow="0" w:firstColumn="1" w:lastColumn="0" w:noHBand="0" w:noVBand="1"/>
      </w:tblPr>
      <w:tblGrid>
        <w:gridCol w:w="3676"/>
        <w:gridCol w:w="567"/>
        <w:gridCol w:w="1134"/>
        <w:gridCol w:w="1134"/>
        <w:gridCol w:w="1134"/>
        <w:gridCol w:w="1134"/>
        <w:gridCol w:w="1249"/>
      </w:tblGrid>
      <w:tr w:rsidR="005A5891" w:rsidRPr="005A5891" w14:paraId="032D6793" w14:textId="77777777" w:rsidTr="006E2AFF">
        <w:trPr>
          <w:trHeight w:val="331"/>
        </w:trPr>
        <w:tc>
          <w:tcPr>
            <w:tcW w:w="3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7A0D9A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5A5891">
              <w:rPr>
                <w:b/>
                <w:bCs/>
                <w:color w:val="000000" w:themeColor="text1"/>
                <w:szCs w:val="28"/>
              </w:rPr>
              <w:t>Показатель</w:t>
            </w:r>
          </w:p>
        </w:tc>
        <w:tc>
          <w:tcPr>
            <w:tcW w:w="6352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0CA125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5A5891">
              <w:rPr>
                <w:b/>
                <w:bCs/>
                <w:color w:val="000000" w:themeColor="text1"/>
                <w:szCs w:val="28"/>
              </w:rPr>
              <w:t>Месяцы реализации проекта</w:t>
            </w:r>
          </w:p>
        </w:tc>
      </w:tr>
      <w:tr w:rsidR="005A5891" w:rsidRPr="005A5891" w14:paraId="7A9EB834" w14:textId="77777777" w:rsidTr="006E2AFF">
        <w:trPr>
          <w:trHeight w:val="331"/>
        </w:trPr>
        <w:tc>
          <w:tcPr>
            <w:tcW w:w="36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FEB241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AD3FD83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1B1913D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41D9460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DD1D7BA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64DE4E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5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552F57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6</w:t>
            </w:r>
          </w:p>
        </w:tc>
      </w:tr>
      <w:tr w:rsidR="005A5891" w:rsidRPr="005A5891" w14:paraId="5309C4D6" w14:textId="77777777" w:rsidTr="006E2AFF">
        <w:trPr>
          <w:trHeight w:val="331"/>
        </w:trPr>
        <w:tc>
          <w:tcPr>
            <w:tcW w:w="36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60DA00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Количество привлеченных клиентов, ед.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3C0C6D8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5991CF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F8268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3EB3F9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2F289CC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D9D351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5</w:t>
            </w:r>
          </w:p>
        </w:tc>
      </w:tr>
      <w:tr w:rsidR="005A5891" w:rsidRPr="005A5891" w14:paraId="3C25C1C1" w14:textId="77777777" w:rsidTr="006E2AFF">
        <w:trPr>
          <w:trHeight w:val="331"/>
        </w:trPr>
        <w:tc>
          <w:tcPr>
            <w:tcW w:w="36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8D122A7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Цена продажи (средняя прибыль с 1 клиента, руб.)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A2B4380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8C94F60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100 000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F719D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100 000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BA6888B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100 000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ED134FA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100 000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EA5E0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Cs w:val="28"/>
              </w:rPr>
            </w:pPr>
            <w:r w:rsidRPr="005A5891">
              <w:rPr>
                <w:color w:val="000000" w:themeColor="text1"/>
                <w:szCs w:val="28"/>
              </w:rPr>
              <w:t>100 000</w:t>
            </w:r>
          </w:p>
        </w:tc>
      </w:tr>
    </w:tbl>
    <w:p w14:paraId="0F86DE29" w14:textId="77777777" w:rsidR="005A5891" w:rsidRPr="005A5891" w:rsidRDefault="005A5891" w:rsidP="005A5891">
      <w:pPr>
        <w:spacing w:after="0" w:line="360" w:lineRule="auto"/>
        <w:ind w:left="0" w:right="0" w:firstLine="709"/>
        <w:rPr>
          <w:color w:val="auto"/>
          <w:szCs w:val="28"/>
        </w:rPr>
      </w:pPr>
    </w:p>
    <w:p w14:paraId="44058497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color w:val="auto"/>
          <w:szCs w:val="28"/>
        </w:rPr>
      </w:pPr>
      <w:r w:rsidRPr="005A5891">
        <w:rPr>
          <w:color w:val="auto"/>
          <w:szCs w:val="28"/>
        </w:rPr>
        <w:t xml:space="preserve">Необходимый стартовый капитал включает в себя затраты на разработку программного продукта, оборудование, а также денежные средства, необходимые на покрытие текущих затрат на начальном этапе внедрения. Таким образом, предполагаемый объем необходимых инвестиций составит 280 000 рублей. </w:t>
      </w:r>
    </w:p>
    <w:p w14:paraId="22BC6974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color w:val="auto"/>
          <w:szCs w:val="28"/>
        </w:rPr>
      </w:pPr>
      <w:r w:rsidRPr="005A5891">
        <w:rPr>
          <w:color w:val="auto"/>
          <w:szCs w:val="28"/>
        </w:rPr>
        <w:t xml:space="preserve">Необходимо отметить, что финансовый план отражает календарный план реализации проекта и построен в рублях. Ставка налога на прибыль, используемого при расчете, составляет 20%. </w:t>
      </w:r>
    </w:p>
    <w:p w14:paraId="31263D64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color w:val="auto"/>
          <w:szCs w:val="28"/>
        </w:rPr>
      </w:pPr>
      <w:r w:rsidRPr="005A5891">
        <w:rPr>
          <w:color w:val="auto"/>
          <w:szCs w:val="28"/>
        </w:rPr>
        <w:t xml:space="preserve">По итогам разработки финансового плана производится расчет показателей, необходимых для анализа эффективности проекта. Бюджет денежных потоков представлен в таблице 2. </w:t>
      </w:r>
    </w:p>
    <w:p w14:paraId="230DEC4A" w14:textId="77777777" w:rsidR="005A5891" w:rsidRPr="005A5891" w:rsidRDefault="005A5891" w:rsidP="005A5891">
      <w:pPr>
        <w:spacing w:after="0" w:line="360" w:lineRule="auto"/>
        <w:ind w:left="0" w:right="0" w:firstLine="0"/>
        <w:rPr>
          <w:color w:val="auto"/>
          <w:szCs w:val="28"/>
        </w:rPr>
      </w:pPr>
    </w:p>
    <w:p w14:paraId="682E86E2" w14:textId="77777777" w:rsidR="005A5891" w:rsidRPr="005A5891" w:rsidRDefault="005A5891" w:rsidP="005A5891">
      <w:pPr>
        <w:spacing w:after="0" w:line="360" w:lineRule="auto"/>
        <w:ind w:left="-567" w:right="-567" w:firstLine="0"/>
        <w:rPr>
          <w:color w:val="auto"/>
          <w:szCs w:val="28"/>
        </w:rPr>
      </w:pPr>
      <w:r w:rsidRPr="005A5891">
        <w:rPr>
          <w:color w:val="auto"/>
          <w:szCs w:val="28"/>
        </w:rPr>
        <w:lastRenderedPageBreak/>
        <w:t>Таблица 21 – Бюджет денежных потоков (cash flow)</w:t>
      </w:r>
    </w:p>
    <w:tbl>
      <w:tblPr>
        <w:tblW w:w="9970" w:type="dxa"/>
        <w:tblInd w:w="-572" w:type="dxa"/>
        <w:tblLook w:val="04A0" w:firstRow="1" w:lastRow="0" w:firstColumn="1" w:lastColumn="0" w:noHBand="0" w:noVBand="1"/>
      </w:tblPr>
      <w:tblGrid>
        <w:gridCol w:w="2120"/>
        <w:gridCol w:w="1110"/>
        <w:gridCol w:w="1123"/>
        <w:gridCol w:w="1123"/>
        <w:gridCol w:w="1123"/>
        <w:gridCol w:w="1119"/>
        <w:gridCol w:w="1019"/>
        <w:gridCol w:w="1233"/>
      </w:tblGrid>
      <w:tr w:rsidR="005A5891" w:rsidRPr="005A5891" w14:paraId="2E44E764" w14:textId="77777777" w:rsidTr="006E2AFF">
        <w:trPr>
          <w:trHeight w:val="76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96830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A5891">
              <w:rPr>
                <w:b/>
                <w:bCs/>
                <w:color w:val="000000" w:themeColor="text1"/>
                <w:sz w:val="24"/>
                <w:szCs w:val="24"/>
              </w:rPr>
              <w:t>Показатели</w:t>
            </w:r>
          </w:p>
        </w:tc>
        <w:tc>
          <w:tcPr>
            <w:tcW w:w="661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EDC5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A5891">
              <w:rPr>
                <w:b/>
                <w:bCs/>
                <w:color w:val="000000" w:themeColor="text1"/>
                <w:sz w:val="24"/>
                <w:szCs w:val="24"/>
              </w:rPr>
              <w:t>Месяцы реализации проекта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7ECD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A5891">
              <w:rPr>
                <w:b/>
                <w:bCs/>
                <w:color w:val="000000" w:themeColor="text1"/>
                <w:sz w:val="24"/>
                <w:szCs w:val="24"/>
              </w:rPr>
              <w:t>Итог</w:t>
            </w:r>
          </w:p>
        </w:tc>
      </w:tr>
      <w:tr w:rsidR="005A5891" w:rsidRPr="005A5891" w14:paraId="6880E100" w14:textId="77777777" w:rsidTr="006E2AFF">
        <w:trPr>
          <w:trHeight w:val="8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DBC8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62850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5516A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2CD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326ED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9299D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E4BD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169B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</w:tr>
      <w:tr w:rsidR="005A5891" w:rsidRPr="005A5891" w14:paraId="272F3B47" w14:textId="77777777" w:rsidTr="006E2AFF">
        <w:trPr>
          <w:trHeight w:val="76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4A933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ДОХОДЫ: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BD67A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FF51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100 000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952A3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3F94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300 000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FF7C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400 000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09FD3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500 000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02D1C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1 500 000</w:t>
            </w:r>
          </w:p>
        </w:tc>
      </w:tr>
      <w:tr w:rsidR="005A5891" w:rsidRPr="005A5891" w14:paraId="33618A57" w14:textId="77777777" w:rsidTr="006E2AFF">
        <w:trPr>
          <w:trHeight w:val="244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1DDCC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Выручка от привлеченных заказов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6AE2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30BB7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100 000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5629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519E5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300 000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F3F8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400 000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4257B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500 000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ED5ED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1 500 000</w:t>
            </w:r>
          </w:p>
        </w:tc>
      </w:tr>
      <w:tr w:rsidR="005A5891" w:rsidRPr="005A5891" w14:paraId="51CC5A20" w14:textId="77777777" w:rsidTr="006E2AFF">
        <w:trPr>
          <w:trHeight w:val="76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4E9A5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РАСХОДЫ: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4481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D87F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70 000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52B9B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70 000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680D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50 000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AC14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50 000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4B713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50 000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0334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490 000</w:t>
            </w:r>
          </w:p>
        </w:tc>
      </w:tr>
      <w:tr w:rsidR="005A5891" w:rsidRPr="005A5891" w14:paraId="5299309B" w14:textId="77777777" w:rsidTr="006E2AFF">
        <w:trPr>
          <w:trHeight w:val="244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A58F7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ФОТ (Заработная плата и поддержка)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3BF5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150 000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F5A1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12CFB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76B3A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20 000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98C4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20 000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845F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20 000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095A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250 000</w:t>
            </w:r>
          </w:p>
        </w:tc>
      </w:tr>
      <w:tr w:rsidR="005A5891" w:rsidRPr="005A5891" w14:paraId="076C6E02" w14:textId="77777777" w:rsidTr="006E2AFF">
        <w:trPr>
          <w:trHeight w:val="244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A9275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Реклама и продвижение веб-интерфейса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17EC7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95DD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1571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62B3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30 000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41F77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30 000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7ED4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30 000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6767D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240 000</w:t>
            </w:r>
          </w:p>
        </w:tc>
      </w:tr>
      <w:tr w:rsidR="005A5891" w:rsidRPr="005A5891" w14:paraId="0826B1A7" w14:textId="77777777" w:rsidTr="006E2AFF">
        <w:trPr>
          <w:trHeight w:val="161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4F8F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Прибыль до налогообложения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055C7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-200 000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78DA8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2421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130 000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F5BC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250 000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1BEA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350 000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D190A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450 000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669D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1 010 000</w:t>
            </w:r>
          </w:p>
        </w:tc>
      </w:tr>
      <w:tr w:rsidR="005A5891" w:rsidRPr="005A5891" w14:paraId="355BE716" w14:textId="77777777" w:rsidTr="006E2AFF">
        <w:trPr>
          <w:trHeight w:val="161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9F9A8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Налоги и платежи в бюджет (20%)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B7F65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3059B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6 000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AE2D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26 000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C987C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50 000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2B31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70 000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DAF0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90 000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19848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242 000</w:t>
            </w:r>
          </w:p>
        </w:tc>
      </w:tr>
      <w:tr w:rsidR="005A5891" w:rsidRPr="005A5891" w14:paraId="3BDF5E8D" w14:textId="77777777" w:rsidTr="006E2AFF">
        <w:trPr>
          <w:trHeight w:val="155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D042C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ЧИСТАЯ ПРИБЫЛЬ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5C2E8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-200 000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31D97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24 000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3057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104 000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6923B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200 000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4CB02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280 000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CE2F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360 000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B21D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768 000</w:t>
            </w:r>
          </w:p>
        </w:tc>
      </w:tr>
      <w:tr w:rsidR="005A5891" w:rsidRPr="005A5891" w14:paraId="18C2C4F4" w14:textId="77777777" w:rsidTr="006E2AFF">
        <w:trPr>
          <w:trHeight w:val="166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B087D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Капитальные затраты: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15EE8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80 000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2A64D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2B56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5E80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2B2C0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04CA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9D23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80 000</w:t>
            </w:r>
          </w:p>
        </w:tc>
      </w:tr>
      <w:tr w:rsidR="005A5891" w:rsidRPr="005A5891" w14:paraId="262ED477" w14:textId="77777777" w:rsidTr="006E2AFF">
        <w:trPr>
          <w:trHeight w:val="55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A7BD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Оборудование (ПК для разработки)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EA21B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80 000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DB0F7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C554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0F9F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13E8A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8D92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564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80 000</w:t>
            </w:r>
          </w:p>
        </w:tc>
      </w:tr>
      <w:tr w:rsidR="005A5891" w:rsidRPr="005A5891" w14:paraId="4E6388C5" w14:textId="77777777" w:rsidTr="006E2AFF">
        <w:trPr>
          <w:trHeight w:val="82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9A2C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ИНВЕСТИЦИИ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7C74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280 000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4ADCE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AED3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B993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18E2D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81ADB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B1A7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280 000</w:t>
            </w:r>
          </w:p>
        </w:tc>
      </w:tr>
      <w:tr w:rsidR="005A5891" w:rsidRPr="005A5891" w14:paraId="67B79C6E" w14:textId="77777777" w:rsidTr="006E2AFF">
        <w:trPr>
          <w:trHeight w:val="161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2CE3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Чистый денежный поток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E46A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A8995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24 000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CE31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104 000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0812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200 000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8B8C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280 000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54F76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360 000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618F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</w:tr>
      <w:tr w:rsidR="005A5891" w:rsidRPr="005A5891" w14:paraId="4B05443A" w14:textId="77777777" w:rsidTr="006E2AFF">
        <w:trPr>
          <w:trHeight w:val="239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921B9" w14:textId="77777777" w:rsidR="005A5891" w:rsidRPr="005A5891" w:rsidRDefault="005A5891" w:rsidP="006E2AFF">
            <w:pPr>
              <w:spacing w:after="0" w:line="240" w:lineRule="auto"/>
              <w:ind w:left="0" w:right="0" w:firstLine="0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Чистый денежный поток (накопленный)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F700D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A854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24 000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6E2FC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128 000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EA54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328 000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681EF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608 000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38711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righ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968 000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15777" w14:textId="77777777" w:rsidR="005A5891" w:rsidRPr="005A5891" w:rsidRDefault="005A5891" w:rsidP="006E2AFF">
            <w:pPr>
              <w:spacing w:after="0" w:line="240" w:lineRule="auto"/>
              <w:ind w:left="0" w:right="0"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5A5891">
              <w:rPr>
                <w:color w:val="000000" w:themeColor="text1"/>
                <w:sz w:val="24"/>
                <w:szCs w:val="24"/>
              </w:rPr>
              <w:t> </w:t>
            </w:r>
          </w:p>
        </w:tc>
      </w:tr>
    </w:tbl>
    <w:p w14:paraId="2417304D" w14:textId="77777777" w:rsidR="005A5891" w:rsidRPr="005A5891" w:rsidRDefault="005A5891" w:rsidP="005A5891">
      <w:pPr>
        <w:spacing w:after="0" w:line="360" w:lineRule="auto"/>
        <w:ind w:left="0" w:right="284" w:firstLine="709"/>
        <w:rPr>
          <w:color w:val="auto"/>
          <w:szCs w:val="28"/>
        </w:rPr>
      </w:pPr>
    </w:p>
    <w:p w14:paraId="28A4BB89" w14:textId="77777777" w:rsidR="005A5891" w:rsidRPr="005A5891" w:rsidRDefault="005A5891" w:rsidP="005A5891">
      <w:pPr>
        <w:spacing w:after="0" w:line="360" w:lineRule="auto"/>
        <w:ind w:left="-567" w:right="-567" w:firstLine="709"/>
        <w:rPr>
          <w:color w:val="auto"/>
          <w:szCs w:val="28"/>
        </w:rPr>
      </w:pPr>
      <w:r w:rsidRPr="005A5891">
        <w:rPr>
          <w:color w:val="auto"/>
          <w:szCs w:val="28"/>
        </w:rPr>
        <w:t xml:space="preserve">Исходя из данных таблицы 2, произведем расчет показателей эффективности проекта разработки программного продукта. </w:t>
      </w:r>
    </w:p>
    <w:p w14:paraId="52BB4E23" w14:textId="77777777" w:rsidR="005A5891" w:rsidRPr="005A5891" w:rsidRDefault="005A5891" w:rsidP="005A5891">
      <w:pPr>
        <w:spacing w:after="0" w:line="360" w:lineRule="auto"/>
        <w:ind w:left="-567" w:right="-567" w:firstLine="709"/>
        <w:rPr>
          <w:color w:val="auto"/>
          <w:szCs w:val="28"/>
        </w:rPr>
      </w:pPr>
      <w:r w:rsidRPr="005A5891">
        <w:rPr>
          <w:color w:val="auto"/>
          <w:szCs w:val="28"/>
        </w:rPr>
        <w:t xml:space="preserve">Первым показателем является чистый приведенный эффект (Net Present Value, NPV), прибыль от реализации проекта. Расчет данного показателя осуществляется по следующей формуле: </w:t>
      </w:r>
    </w:p>
    <w:p w14:paraId="76B1669C" w14:textId="77777777" w:rsidR="005A5891" w:rsidRPr="005A5891" w:rsidRDefault="005A5891" w:rsidP="005A5891">
      <w:pPr>
        <w:spacing w:after="0" w:line="360" w:lineRule="auto"/>
        <w:ind w:left="0" w:right="284" w:firstLine="709"/>
        <w:rPr>
          <w:color w:val="000000" w:themeColor="text1"/>
          <w:szCs w:val="28"/>
        </w:rPr>
      </w:pPr>
    </w:p>
    <w:p w14:paraId="0EBA5CF8" w14:textId="77777777" w:rsidR="005A5891" w:rsidRPr="005A5891" w:rsidRDefault="005A5891" w:rsidP="005A5891">
      <w:pPr>
        <w:spacing w:after="0" w:line="360" w:lineRule="auto"/>
        <w:ind w:left="2831" w:right="111" w:firstLine="709"/>
        <w:rPr>
          <w:color w:val="000000" w:themeColor="text1"/>
          <w:szCs w:val="28"/>
        </w:rPr>
      </w:pPr>
      <m:oMath>
        <m:r>
          <w:rPr>
            <w:rFonts w:ascii="Cambria Math" w:hAnsi="Cambria Math"/>
            <w:color w:val="000000" w:themeColor="text1"/>
            <w:szCs w:val="28"/>
          </w:rPr>
          <m:t>N</m:t>
        </m:r>
        <m:r>
          <w:rPr>
            <w:rFonts w:ascii="Cambria Math" w:hAnsi="Cambria Math"/>
            <w:color w:val="000000" w:themeColor="text1"/>
            <w:szCs w:val="28"/>
            <w:lang w:val="en-US"/>
          </w:rPr>
          <m:t>PV</m:t>
        </m:r>
        <m:r>
          <w:rPr>
            <w:rFonts w:ascii="Cambria Math" w:hAnsi="Cambria Math"/>
            <w:color w:val="000000" w:themeColor="text1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T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NC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t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(1+</m:t>
                    </m:r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t</m:t>
                    </m:r>
                  </m:sup>
                </m:sSup>
              </m:den>
            </m:f>
          </m:e>
        </m:nary>
      </m:oMath>
      <w:r w:rsidRPr="005A5891">
        <w:rPr>
          <w:color w:val="000000" w:themeColor="text1"/>
          <w:szCs w:val="28"/>
        </w:rPr>
        <w:t xml:space="preserve"> , </w:t>
      </w:r>
      <w:r w:rsidRPr="005A5891">
        <w:rPr>
          <w:color w:val="000000" w:themeColor="text1"/>
          <w:szCs w:val="28"/>
        </w:rPr>
        <w:tab/>
      </w:r>
      <w:r w:rsidRPr="005A5891">
        <w:rPr>
          <w:color w:val="000000" w:themeColor="text1"/>
          <w:szCs w:val="28"/>
        </w:rPr>
        <w:tab/>
      </w:r>
      <w:r w:rsidRPr="005A5891">
        <w:rPr>
          <w:color w:val="000000" w:themeColor="text1"/>
          <w:szCs w:val="28"/>
        </w:rPr>
        <w:tab/>
        <w:t>(1)</w:t>
      </w:r>
    </w:p>
    <w:p w14:paraId="1E8D57F5" w14:textId="77777777" w:rsidR="005A5891" w:rsidRPr="005A5891" w:rsidRDefault="005A5891" w:rsidP="005A5891">
      <w:pPr>
        <w:spacing w:after="0" w:line="360" w:lineRule="auto"/>
        <w:ind w:left="0" w:right="284" w:firstLine="709"/>
        <w:rPr>
          <w:color w:val="auto"/>
          <w:szCs w:val="28"/>
        </w:rPr>
      </w:pPr>
    </w:p>
    <w:p w14:paraId="2F741EE2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 xml:space="preserve">где: R – ставка дисконтирования; </w:t>
      </w:r>
    </w:p>
    <w:p w14:paraId="14D18584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 xml:space="preserve">Т – прогнозный интервал времени; </w:t>
      </w:r>
    </w:p>
    <w:p w14:paraId="44FBE262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lastRenderedPageBreak/>
        <w:t xml:space="preserve">t – один период времени в прогнозном интервале времени. </w:t>
      </w:r>
    </w:p>
    <w:p w14:paraId="0E28A3BE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 xml:space="preserve">Проект считается эффективным при </w:t>
      </w:r>
      <w:proofErr w:type="gramStart"/>
      <w:r w:rsidRPr="005A5891">
        <w:rPr>
          <w:rFonts w:eastAsia="Calibri"/>
          <w:color w:val="auto"/>
          <w:szCs w:val="28"/>
          <w:lang w:eastAsia="en-US"/>
        </w:rPr>
        <w:t>NPV &gt;</w:t>
      </w:r>
      <w:proofErr w:type="gramEnd"/>
      <w:r w:rsidRPr="005A5891">
        <w:rPr>
          <w:rFonts w:eastAsia="Calibri"/>
          <w:color w:val="auto"/>
          <w:szCs w:val="28"/>
          <w:lang w:eastAsia="en-US"/>
        </w:rPr>
        <w:t xml:space="preserve"> 0.</w:t>
      </w:r>
    </w:p>
    <w:p w14:paraId="481E7735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>В данном случае NPV рассчитывается как разность между накопленным денежным потоком и объемом первоначальных инвестиций и равен: NPV = 968 000 – 280 000 = 688 000 рублей. Значение данного показателя является положительным, что говорит об эффективности разработки программного продукта.</w:t>
      </w:r>
    </w:p>
    <w:p w14:paraId="53CFF529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>Следующим показателем является индекс рентабельности инвестиций (Profitability Index, PI), который иллюстрирует отношение отдачи капитала к размеру вложенного капитала. Индекс прибыльности рассчитывается по формуле:</w:t>
      </w:r>
    </w:p>
    <w:p w14:paraId="6BFCF59E" w14:textId="77777777" w:rsidR="005A5891" w:rsidRPr="005A5891" w:rsidRDefault="005A5891" w:rsidP="005A5891">
      <w:pPr>
        <w:spacing w:after="0" w:line="360" w:lineRule="auto"/>
        <w:ind w:left="0" w:right="0" w:firstLine="709"/>
        <w:contextualSpacing/>
        <w:rPr>
          <w:rFonts w:eastAsia="Calibri"/>
          <w:color w:val="auto"/>
          <w:szCs w:val="28"/>
          <w:lang w:eastAsia="en-US"/>
        </w:rPr>
      </w:pPr>
    </w:p>
    <w:p w14:paraId="6267926D" w14:textId="77777777" w:rsidR="005A5891" w:rsidRPr="005A5891" w:rsidRDefault="005A5891" w:rsidP="005A5891">
      <w:pPr>
        <w:spacing w:after="0" w:line="360" w:lineRule="auto"/>
        <w:ind w:left="2832" w:right="0" w:firstLine="709"/>
        <w:contextualSpacing/>
        <w:rPr>
          <w:rFonts w:eastAsia="Calibri"/>
          <w:color w:val="auto"/>
          <w:szCs w:val="28"/>
          <w:lang w:eastAsia="en-US"/>
        </w:rPr>
      </w:pPr>
      <m:oMath>
        <m:r>
          <w:rPr>
            <w:rFonts w:ascii="Cambria Math" w:eastAsia="Calibri" w:hAnsi="Cambria Math"/>
            <w:color w:val="auto"/>
            <w:szCs w:val="28"/>
            <w:lang w:eastAsia="en-US"/>
          </w:rPr>
          <m:t>P</m:t>
        </m:r>
        <m:r>
          <w:rPr>
            <w:rFonts w:ascii="Cambria Math" w:eastAsia="Calibri" w:hAnsi="Cambria Math"/>
            <w:color w:val="auto"/>
            <w:szCs w:val="28"/>
            <w:lang w:val="en-US" w:eastAsia="en-US"/>
          </w:rPr>
          <m:t>I</m:t>
        </m:r>
        <m:r>
          <w:rPr>
            <w:rFonts w:ascii="Cambria Math" w:eastAsia="Calibri" w:hAnsi="Cambria Math"/>
            <w:color w:val="auto"/>
            <w:szCs w:val="28"/>
            <w:lang w:eastAsia="en-US"/>
          </w:rPr>
          <m:t>=</m:t>
        </m:r>
        <m:f>
          <m:fPr>
            <m:ctrlPr>
              <w:rPr>
                <w:rFonts w:ascii="Cambria Math" w:eastAsia="Calibri" w:hAnsi="Cambria Math"/>
                <w:i/>
                <w:color w:val="auto"/>
                <w:szCs w:val="28"/>
                <w:lang w:val="en-US" w:eastAsia="en-US"/>
              </w:rPr>
            </m:ctrlPr>
          </m:fPr>
          <m:num>
            <m:r>
              <w:rPr>
                <w:rFonts w:ascii="Cambria Math" w:eastAsia="Calibri" w:hAnsi="Cambria Math"/>
                <w:color w:val="auto"/>
                <w:szCs w:val="28"/>
                <w:lang w:val="en-US" w:eastAsia="en-US"/>
              </w:rPr>
              <m:t>Cf</m:t>
            </m:r>
          </m:num>
          <m:den>
            <m:r>
              <w:rPr>
                <w:rFonts w:ascii="Cambria Math" w:eastAsia="Calibri" w:hAnsi="Cambria Math"/>
                <w:color w:val="auto"/>
                <w:szCs w:val="28"/>
                <w:lang w:val="en-US" w:eastAsia="en-US"/>
              </w:rPr>
              <m:t>I</m:t>
            </m:r>
          </m:den>
        </m:f>
      </m:oMath>
      <w:r w:rsidRPr="005A5891">
        <w:rPr>
          <w:rFonts w:eastAsia="Calibri"/>
          <w:color w:val="auto"/>
          <w:szCs w:val="28"/>
          <w:lang w:eastAsia="en-US"/>
        </w:rPr>
        <w:t xml:space="preserve"> , </w:t>
      </w:r>
      <w:r w:rsidRPr="005A5891">
        <w:rPr>
          <w:rFonts w:eastAsia="Calibri"/>
          <w:color w:val="auto"/>
          <w:szCs w:val="28"/>
          <w:lang w:eastAsia="en-US"/>
        </w:rPr>
        <w:tab/>
      </w:r>
      <w:r w:rsidRPr="005A5891">
        <w:rPr>
          <w:rFonts w:eastAsia="Calibri"/>
          <w:color w:val="auto"/>
          <w:szCs w:val="28"/>
          <w:lang w:eastAsia="en-US"/>
        </w:rPr>
        <w:tab/>
      </w:r>
      <w:r w:rsidRPr="005A5891">
        <w:rPr>
          <w:rFonts w:eastAsia="Calibri"/>
          <w:color w:val="auto"/>
          <w:szCs w:val="28"/>
          <w:lang w:eastAsia="en-US"/>
        </w:rPr>
        <w:tab/>
      </w:r>
      <w:r w:rsidRPr="005A5891">
        <w:rPr>
          <w:rFonts w:eastAsia="Calibri"/>
          <w:color w:val="auto"/>
          <w:szCs w:val="28"/>
          <w:lang w:eastAsia="en-US"/>
        </w:rPr>
        <w:tab/>
      </w:r>
      <w:r w:rsidRPr="005A5891">
        <w:rPr>
          <w:rFonts w:eastAsia="Calibri"/>
          <w:color w:val="auto"/>
          <w:szCs w:val="28"/>
          <w:lang w:eastAsia="en-US"/>
        </w:rPr>
        <w:tab/>
      </w:r>
      <w:r w:rsidRPr="005A5891">
        <w:rPr>
          <w:rFonts w:eastAsia="Calibri"/>
          <w:color w:val="auto"/>
          <w:szCs w:val="28"/>
          <w:lang w:eastAsia="en-US"/>
        </w:rPr>
        <w:tab/>
        <w:t>(2)</w:t>
      </w:r>
    </w:p>
    <w:p w14:paraId="3A694C52" w14:textId="77777777" w:rsidR="005A5891" w:rsidRPr="005A5891" w:rsidRDefault="005A5891" w:rsidP="005A5891">
      <w:pPr>
        <w:spacing w:after="0" w:line="360" w:lineRule="auto"/>
        <w:ind w:left="0" w:right="0" w:firstLine="709"/>
        <w:contextualSpacing/>
        <w:rPr>
          <w:rFonts w:eastAsia="Calibri"/>
          <w:color w:val="auto"/>
          <w:szCs w:val="28"/>
          <w:lang w:eastAsia="en-US"/>
        </w:rPr>
      </w:pPr>
    </w:p>
    <w:p w14:paraId="74A1AEC4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>где: PI – индекс рентабельности;</w:t>
      </w:r>
    </w:p>
    <w:p w14:paraId="79BA9241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proofErr w:type="spellStart"/>
      <w:r w:rsidRPr="005A5891">
        <w:rPr>
          <w:rFonts w:eastAsia="Calibri"/>
          <w:color w:val="auto"/>
          <w:szCs w:val="28"/>
          <w:lang w:eastAsia="en-US"/>
        </w:rPr>
        <w:t>Cf</w:t>
      </w:r>
      <w:proofErr w:type="spellEnd"/>
      <w:r w:rsidRPr="005A5891">
        <w:rPr>
          <w:rFonts w:eastAsia="Calibri"/>
          <w:color w:val="auto"/>
          <w:szCs w:val="28"/>
          <w:lang w:eastAsia="en-US"/>
        </w:rPr>
        <w:t xml:space="preserve"> – накопленный чистый денежный поток;</w:t>
      </w:r>
    </w:p>
    <w:p w14:paraId="0589CDF7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>I – инвестиции (капиталовложения) в рассматриваемый проект.</w:t>
      </w:r>
    </w:p>
    <w:p w14:paraId="12AF2412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>Проект считается эффективным при Р</w:t>
      </w:r>
      <w:proofErr w:type="gramStart"/>
      <w:r w:rsidRPr="005A5891">
        <w:rPr>
          <w:rFonts w:eastAsia="Calibri"/>
          <w:color w:val="auto"/>
          <w:szCs w:val="28"/>
          <w:lang w:eastAsia="en-US"/>
        </w:rPr>
        <w:t>I &gt;</w:t>
      </w:r>
      <w:proofErr w:type="gramEnd"/>
      <w:r w:rsidRPr="005A5891">
        <w:rPr>
          <w:rFonts w:eastAsia="Calibri"/>
          <w:color w:val="auto"/>
          <w:szCs w:val="28"/>
          <w:lang w:eastAsia="en-US"/>
        </w:rPr>
        <w:t xml:space="preserve"> 1.</w:t>
      </w:r>
    </w:p>
    <w:p w14:paraId="640787E0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 xml:space="preserve">В данном случае PI = 968 000 / 280 000 = 3,46. Значение данного показателя превышает необходимую норму, что подтверждает эффективность разработки. </w:t>
      </w:r>
    </w:p>
    <w:p w14:paraId="0FF48534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 xml:space="preserve">Также одним из показателей эффективности проекта является срок окупаемости инвестиций (Payback Period, РР) – период времени, в котором выплаты по возврату привлеченных инвестиций и накопленная чистая прибыль сравниваются с величиной привлеченных инвестиций. Данный показатель характеризует момент времени, в котором проект окупает вложенные инвестиции и начинает приносить прибыль. </w:t>
      </w:r>
    </w:p>
    <w:p w14:paraId="32A6D3CA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rFonts w:eastAsia="Calibri"/>
          <w:color w:val="auto"/>
          <w:szCs w:val="28"/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>По результатам таблицы 2 видно, что накопленный денежный поток превышает сумму первоначальных инвестиций на 4 месяце, что говорит о том, что проект разработки программного продукта окупится через 4 месяца.</w:t>
      </w:r>
    </w:p>
    <w:p w14:paraId="4517B331" w14:textId="77777777" w:rsidR="005A5891" w:rsidRPr="005A5891" w:rsidRDefault="005A5891" w:rsidP="005A5891">
      <w:pPr>
        <w:spacing w:after="0" w:line="360" w:lineRule="auto"/>
        <w:ind w:left="-567" w:right="-567" w:firstLine="680"/>
        <w:rPr>
          <w:lang w:eastAsia="en-US"/>
        </w:rPr>
      </w:pPr>
      <w:r w:rsidRPr="005A5891">
        <w:rPr>
          <w:rFonts w:eastAsia="Calibri"/>
          <w:color w:val="auto"/>
          <w:szCs w:val="28"/>
          <w:lang w:eastAsia="en-US"/>
        </w:rPr>
        <w:t xml:space="preserve">Подводя итог, можно сделать вывод, что проект является экономически эффективным, поскольку значения показателей эффективности разработки проекта превышают нормативные значения. Данный проект окупается за 4 месяца. Точка </w:t>
      </w:r>
      <w:r w:rsidRPr="005A5891">
        <w:rPr>
          <w:rFonts w:eastAsia="Calibri"/>
          <w:color w:val="auto"/>
          <w:szCs w:val="28"/>
          <w:lang w:eastAsia="en-US"/>
        </w:rPr>
        <w:lastRenderedPageBreak/>
        <w:t>безубыточности достигается на 2 месяц реализации. Прибыль от реализации проекта составит 688 000 рублей.</w:t>
      </w:r>
    </w:p>
    <w:p w14:paraId="39422B3A" w14:textId="77777777" w:rsidR="005A5891" w:rsidRPr="005A5891" w:rsidRDefault="005A5891" w:rsidP="005A5891">
      <w:pPr>
        <w:pStyle w:val="a7"/>
        <w:spacing w:after="0" w:line="360" w:lineRule="auto"/>
        <w:ind w:left="-567" w:right="-567" w:firstLine="680"/>
        <w:contextualSpacing w:val="0"/>
        <w:rPr>
          <w:rFonts w:ascii="Times New Roman" w:hAnsi="Times New Roman" w:cs="Times New Roman"/>
          <w:szCs w:val="28"/>
        </w:rPr>
      </w:pPr>
      <w:r w:rsidRPr="005A5891">
        <w:rPr>
          <w:rFonts w:ascii="Times New Roman" w:hAnsi="Times New Roman" w:cs="Times New Roman"/>
        </w:rPr>
        <w:br w:type="page"/>
      </w:r>
    </w:p>
    <w:p w14:paraId="11095E46" w14:textId="77777777" w:rsidR="00C17111" w:rsidRPr="005A5891" w:rsidRDefault="00C17111"/>
    <w:sectPr w:rsidR="00C17111" w:rsidRPr="005A5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7F"/>
    <w:rsid w:val="005A5891"/>
    <w:rsid w:val="00714F7F"/>
    <w:rsid w:val="009E141D"/>
    <w:rsid w:val="00C17111"/>
    <w:rsid w:val="00DC1EF7"/>
    <w:rsid w:val="00FE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958A6A-1B2D-471F-A8FC-D6E3426A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891"/>
    <w:pPr>
      <w:spacing w:after="15" w:line="268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4F7F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F7F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F7F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F7F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F7F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F7F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F7F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F7F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F7F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4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4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4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4F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4F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4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4F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4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4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4F7F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1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F7F"/>
    <w:pPr>
      <w:numPr>
        <w:ilvl w:val="1"/>
      </w:numPr>
      <w:spacing w:after="160" w:line="278" w:lineRule="auto"/>
      <w:ind w:right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1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4F7F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14F7F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714F7F"/>
    <w:pPr>
      <w:spacing w:after="160" w:line="278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714F7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4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714F7F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14F7F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basedOn w:val="a0"/>
    <w:link w:val="a7"/>
    <w:uiPriority w:val="34"/>
    <w:locked/>
    <w:rsid w:val="005A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ampEr3</dc:creator>
  <cp:keywords/>
  <dc:description/>
  <cp:lastModifiedBy>ampEr3</cp:lastModifiedBy>
  <cp:revision>2</cp:revision>
  <dcterms:created xsi:type="dcterms:W3CDTF">2026-05-26T18:44:00Z</dcterms:created>
  <dcterms:modified xsi:type="dcterms:W3CDTF">2026-05-26T18:45:00Z</dcterms:modified>
</cp:coreProperties>
</file>