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spacing w:after="240"/>
      </w:pPr>
      <w:r>
        <w:rPr>
          <w:rFonts w:ascii="Arial" w:cs="Arial" w:eastAsia="Arial" w:hAnsi="Arial"/>
          <w:b/>
          <w:bCs/>
          <w:color w:val="1F3A5F"/>
          <w:sz w:val="48"/>
          <w:szCs w:val="48"/>
        </w:rPr>
        <w:t xml:space="preserve">AI Interaction Framework for Mendix</w:t>
      </w:r>
    </w:p>
    <w:p>
      <w:pPr>
        <w:spacing w:after="120"/>
      </w:pPr>
      <w:r>
        <w:rPr>
          <w:rFonts w:ascii="Arial" w:cs="Arial" w:eastAsia="Arial" w:hAnsi="Arial"/>
          <w:b/>
          <w:bCs/>
          <w:color w:val="2E75B6"/>
          <w:sz w:val="40"/>
          <w:szCs w:val="40"/>
        </w:rPr>
        <w:t xml:space="preserve">Document-Extract Primitive</w:t>
      </w:r>
    </w:p>
    <w:p>
      <w:pPr>
        <w:spacing w:after="600"/>
      </w:pPr>
      <w:r>
        <w:rPr>
          <w:rFonts w:ascii="Arial" w:cs="Arial" w:eastAsia="Arial" w:hAnsi="Arial"/>
          <w:color w:val="111827"/>
          <w:sz w:val="32"/>
          <w:szCs w:val="32"/>
        </w:rPr>
        <w:t xml:space="preserve">Design Specification</w:t>
      </w:r>
    </w:p>
    <w:p>
      <w:pPr>
        <w:spacing w:after="120"/>
      </w:pPr>
      <w:r>
        <w:rPr>
          <w:rFonts w:ascii="Arial" w:cs="Arial" w:eastAsia="Arial" w:hAnsi="Arial"/>
          <w:i/>
          <w:iCs/>
          <w:color w:val="6B7280"/>
          <w:sz w:val="24"/>
          <w:szCs w:val="24"/>
        </w:rPr>
        <w:t xml:space="preserve">Wave 1 — Aerospace &amp; Defense</w:t>
      </w:r>
    </w:p>
    <w:p>
      <w:pPr>
        <w:spacing w:after="600"/>
      </w:pPr>
      <w:r>
        <w:rPr>
          <w:rFonts w:ascii="Arial" w:cs="Arial" w:eastAsia="Arial" w:hAnsi="Arial"/>
          <w:i/>
          <w:iCs/>
          <w:color w:val="6B7280"/>
          <w:sz w:val="22"/>
          <w:szCs w:val="22"/>
        </w:rPr>
        <w:t xml:space="preserve">Covers: SCM-02, ENG-01, MFG-01</w:t>
      </w:r>
    </w:p>
    <w:p>
      <w:pPr>
        <w:spacing w:after="60"/>
      </w:pPr>
      <w:r>
        <w:rPr>
          <w:rFonts w:ascii="Arial" w:cs="Arial" w:eastAsia="Arial" w:hAnsi="Arial"/>
          <w:sz w:val="22"/>
          <w:szCs w:val="22"/>
        </w:rPr>
        <w:t xml:space="preserve">Version 0.1 — Draft for Review</w:t>
      </w:r>
    </w:p>
    <w:p>
      <w:r>
        <w:rPr>
          <w:rFonts w:ascii="Arial" w:cs="Arial" w:eastAsia="Arial" w:hAnsi="Arial"/>
          <w:sz w:val="22"/>
          <w:szCs w:val="22"/>
        </w:rPr>
        <w:t xml:space="preserve">April 2026</w:t>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rPr>
          <w:rFonts w:ascii="Arial" w:cs="Arial" w:eastAsia="Arial" w:hAnsi="Arial"/>
        </w:rPr>
        <w:t xml:space="preserve">1. Executive Summary</w:t>
      </w:r>
    </w:p>
    <w:p>
      <w:pPr>
        <w:spacing w:after="120" w:line="300"/>
      </w:pPr>
      <w:r>
        <w:rPr>
          <w:rFonts w:ascii="Arial" w:cs="Arial" w:eastAsia="Arial" w:hAnsi="Arial"/>
        </w:rPr>
        <w:t xml:space="preserve">The AI Interaction Framework is a Mendix module that standardizes how business-process applications invoke large language models. It is shipped on the Mendix Marketplace as reusable scaffolding so that every application built on top of it inherits the same governance, auditability, and export-control posture by default. </w:t>
      </w:r>
      <w:r>
        <w:rPr>
          <w:rFonts w:ascii="Arial" w:cs="Arial" w:eastAsia="Arial" w:hAnsi="Arial"/>
        </w:rPr>
        <w:t xml:space="preserve">This document specifies the first of four interaction primitives: </w:t>
      </w:r>
      <w:r>
        <w:rPr>
          <w:rFonts w:ascii="Arial" w:cs="Arial" w:eastAsia="Arial" w:hAnsi="Arial"/>
          <w:b/>
          <w:bCs/>
        </w:rPr>
        <w:t xml:space="preserve">Document-Extract</w:t>
      </w:r>
      <w:r>
        <w:rPr>
          <w:rFonts w:ascii="Arial" w:cs="Arial" w:eastAsia="Arial" w:hAnsi="Arial"/>
        </w:rPr>
        <w:t xml:space="preserve">. A Document-Extract is a zero-temperature, single-shot extraction of structured facts from a source document — with a per-fact citation back to the source and an explicit JSON-schema contract on the output.</w:t>
      </w:r>
    </w:p>
    <w:p>
      <w:pPr>
        <w:spacing w:after="120" w:line="300"/>
      </w:pPr>
      <w:r>
        <w:rPr>
          <w:rFonts w:ascii="Arial" w:cs="Arial" w:eastAsia="Arial" w:hAnsi="Arial"/>
        </w:rPr>
        <w:t xml:space="preserve">Three templates ship in Wave 1, one per application in the Wave 1 release: </w:t>
      </w:r>
      <w:r>
        <w:rPr>
          <w:rFonts w:ascii="Arial" w:cs="Arial" w:eastAsia="Arial" w:hAnsi="Arial"/>
          <w:b/>
          <w:bCs/>
        </w:rPr>
        <w:t xml:space="preserve">SCM-02-RFQ-Extractor</w:t>
      </w:r>
      <w:r>
        <w:rPr>
          <w:rFonts w:ascii="Arial" w:cs="Arial" w:eastAsia="Arial" w:hAnsi="Arial"/>
        </w:rPr>
        <w:t xml:space="preserve"> for RFQ/SOW intake, </w:t>
      </w:r>
      <w:r>
        <w:rPr>
          <w:rFonts w:ascii="Arial" w:cs="Arial" w:eastAsia="Arial" w:hAnsi="Arial"/>
          <w:b/>
          <w:bCs/>
        </w:rPr>
        <w:t xml:space="preserve">ENG-01-Requirements-Extractor</w:t>
      </w:r>
      <w:r>
        <w:rPr>
          <w:rFonts w:ascii="Arial" w:cs="Arial" w:eastAsia="Arial" w:hAnsi="Arial"/>
        </w:rPr>
        <w:t xml:space="preserve"> for customer-specification shall-statement extraction, and </w:t>
      </w:r>
      <w:r>
        <w:rPr>
          <w:rFonts w:ascii="Arial" w:cs="Arial" w:eastAsia="Arial" w:hAnsi="Arial"/>
          <w:b/>
          <w:bCs/>
        </w:rPr>
        <w:t xml:space="preserve">MFG-01-WI-Source-Extractor</w:t>
      </w:r>
      <w:r>
        <w:rPr>
          <w:rFonts w:ascii="Arial" w:cs="Arial" w:eastAsia="Arial" w:hAnsi="Arial"/>
        </w:rPr>
        <w:t xml:space="preserve"> for shop-floor work-instruction source extraction from drawings, ECOs, and process specs.</w:t>
      </w:r>
    </w:p>
    <w:p>
      <w:pPr>
        <w:spacing w:after="120" w:line="300"/>
      </w:pPr>
      <w:r>
        <w:rPr>
          <w:rFonts w:ascii="Arial" w:cs="Arial" w:eastAsia="Arial" w:hAnsi="Arial"/>
        </w:rPr>
        <w:t xml:space="preserve">The primitive is opinionated. It does not support free-form completions, multi-turn dialogue, or non-cited outputs. Those patterns belong to the other three primitives (Guided Copilot, Drafting &amp; Generation, Decision Support &amp; Triage), each of which will get its own design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single" w:color="2E75B6" w:sz="4"/>
            </w:tcBorders>
            <w:shd w:fill="E8EEF5" w:val="clear"/>
            <w:tcMar>
              <w:top w:type="dxa" w:w="160"/>
              <w:left w:type="dxa" w:w="240"/>
              <w:bottom w:type="dxa" w:w="160"/>
              <w:right w:type="dxa" w:w="240"/>
            </w:tcMar>
          </w:tcPr>
          <w:p>
            <w:pPr>
              <w:spacing w:after="80"/>
            </w:pPr>
            <w:r>
              <w:rPr>
                <w:rFonts w:ascii="Arial" w:cs="Arial" w:eastAsia="Arial" w:hAnsi="Arial"/>
                <w:b/>
                <w:bCs/>
                <w:color w:val="1F3A5F"/>
                <w:sz w:val="22"/>
                <w:szCs w:val="22"/>
              </w:rPr>
              <w:t xml:space="preserve">Scope of this document</w:t>
            </w:r>
          </w:p>
          <w:p>
            <w:pPr>
              <w:spacing w:after="60" w:line="280"/>
            </w:pPr>
            <w:r>
              <w:rPr>
                <w:rFonts w:ascii="Arial" w:cs="Arial" w:eastAsia="Arial" w:hAnsi="Arial"/>
                <w:sz w:val="22"/>
                <w:szCs w:val="22"/>
              </w:rPr>
              <w:t xml:space="preserve">What Document-Extract is and what it is not.</w:t>
            </w:r>
          </w:p>
          <w:p>
            <w:pPr>
              <w:spacing w:after="60" w:line="280"/>
            </w:pPr>
            <w:r>
              <w:rPr>
                <w:rFonts w:ascii="Arial" w:cs="Arial" w:eastAsia="Arial" w:hAnsi="Arial"/>
                <w:sz w:val="22"/>
                <w:szCs w:val="22"/>
              </w:rPr>
              <w:t xml:space="preserve">Entity model, lifecycle, and execution microflow pattern.</w:t>
            </w:r>
          </w:p>
          <w:p>
            <w:pPr>
              <w:spacing w:after="60" w:line="280"/>
            </w:pPr>
            <w:r>
              <w:rPr>
                <w:rFonts w:ascii="Arial" w:cs="Arial" w:eastAsia="Arial" w:hAnsi="Arial"/>
                <w:sz w:val="22"/>
                <w:szCs w:val="22"/>
              </w:rPr>
              <w:t xml:space="preserve">Governance: versioning, immutability, approval gates.</w:t>
            </w:r>
          </w:p>
          <w:p>
            <w:pPr>
              <w:spacing w:after="60" w:line="280"/>
            </w:pPr>
            <w:r>
              <w:rPr>
                <w:rFonts w:ascii="Arial" w:cs="Arial" w:eastAsia="Arial" w:hAnsi="Arial"/>
                <w:sz w:val="22"/>
                <w:szCs w:val="22"/>
              </w:rPr>
              <w:t xml:space="preserve">Evaluation strategy and quality bars.</w:t>
            </w:r>
          </w:p>
          <w:p>
            <w:pPr>
              <w:spacing w:after="60" w:line="280"/>
            </w:pPr>
            <w:r>
              <w:rPr>
                <w:rFonts w:ascii="Arial" w:cs="Arial" w:eastAsia="Arial" w:hAnsi="Arial"/>
                <w:sz w:val="22"/>
                <w:szCs w:val="22"/>
              </w:rPr>
              <w:t xml:space="preserve">Per-template subsections for SCM-02, ENG-01, and MFG-01.</w:t>
            </w:r>
          </w:p>
        </w:tc>
      </w:tr>
    </w:tbl>
    <w:p>
      <w:pPr>
        <w:pStyle w:val="Heading1"/>
        <w:pageBreakBefore/>
      </w:pPr>
      <w:r>
        <w:rPr>
          <w:rFonts w:ascii="Arial" w:cs="Arial" w:eastAsia="Arial" w:hAnsi="Arial"/>
        </w:rPr>
        <w:t xml:space="preserve">2. Primitive Overview</w:t>
      </w:r>
    </w:p>
    <w:p>
      <w:pPr>
        <w:pStyle w:val="Heading2"/>
      </w:pPr>
      <w:r>
        <w:rPr>
          <w:rFonts w:ascii="Arial" w:cs="Arial" w:eastAsia="Arial" w:hAnsi="Arial"/>
        </w:rPr>
        <w:t xml:space="preserve">2.1 Definition</w:t>
      </w:r>
    </w:p>
    <w:p>
      <w:pPr>
        <w:spacing w:after="120" w:line="300"/>
      </w:pPr>
      <w:r>
        <w:rPr>
          <w:rFonts w:ascii="Arial" w:cs="Arial" w:eastAsia="Arial" w:hAnsi="Arial"/>
        </w:rPr>
        <w:t xml:space="preserve">A Document-Extract is a single invocation of an LLM whose job is to read a source document (or a small set of related documents) and emit exactly one JSON object that conforms to a predeclared schema. Every extracted fact in the output carries a citation back to a specific page and location in the source. The invocation is deterministic (temperature 0.0) and is expected to produce the same output for the same input and template version.</w:t>
      </w:r>
    </w:p>
    <w:p>
      <w:pPr>
        <w:pStyle w:val="Heading2"/>
      </w:pPr>
      <w:r>
        <w:rPr>
          <w:rFonts w:ascii="Arial" w:cs="Arial" w:eastAsia="Arial" w:hAnsi="Arial"/>
        </w:rPr>
        <w:t xml:space="preserve">2.2 What Document-Extract is</w:t>
      </w:r>
    </w:p>
    <w:p>
      <w:pPr>
        <w:pStyle w:val="ListParagraph"/>
        <w:numPr>
          <w:ilvl w:val="0"/>
          <w:numId w:val="2"/>
        </w:numPr>
        <w:spacing w:after="80" w:line="280"/>
      </w:pPr>
      <w:r>
        <w:rPr>
          <w:rFonts w:ascii="Arial" w:cs="Arial" w:eastAsia="Arial" w:hAnsi="Arial"/>
        </w:rPr>
        <w:t xml:space="preserve">A structured-output LLM call with a declared JSON schema as its output contract.</w:t>
      </w:r>
    </w:p>
    <w:p>
      <w:pPr>
        <w:pStyle w:val="ListParagraph"/>
        <w:numPr>
          <w:ilvl w:val="0"/>
          <w:numId w:val="2"/>
        </w:numPr>
        <w:spacing w:after="80" w:line="280"/>
      </w:pPr>
      <w:r>
        <w:rPr>
          <w:rFonts w:ascii="Arial" w:cs="Arial" w:eastAsia="Arial" w:hAnsi="Arial"/>
        </w:rPr>
        <w:t xml:space="preserve">A read-only operation on source documents. It never mutates or writes back.</w:t>
      </w:r>
    </w:p>
    <w:p>
      <w:pPr>
        <w:pStyle w:val="ListParagraph"/>
        <w:numPr>
          <w:ilvl w:val="0"/>
          <w:numId w:val="2"/>
        </w:numPr>
        <w:spacing w:after="80" w:line="280"/>
      </w:pPr>
      <w:r>
        <w:rPr>
          <w:rFonts w:ascii="Arial" w:cs="Arial" w:eastAsia="Arial" w:hAnsi="Arial"/>
        </w:rPr>
        <w:t xml:space="preserve">A cited operation. Every extracted value is traceable to a page and, where available, a section, zone, or note identifier in the source.</w:t>
      </w:r>
    </w:p>
    <w:p>
      <w:pPr>
        <w:pStyle w:val="ListParagraph"/>
        <w:numPr>
          <w:ilvl w:val="0"/>
          <w:numId w:val="2"/>
        </w:numPr>
        <w:spacing w:after="80" w:line="280"/>
      </w:pPr>
      <w:r>
        <w:rPr>
          <w:rFonts w:ascii="Arial" w:cs="Arial" w:eastAsia="Arial" w:hAnsi="Arial"/>
        </w:rPr>
        <w:t xml:space="preserve">An audited operation. Every invocation is recorded with inputs, rendered prompts, outputs, backend, model, tokens, latency, and confidence.</w:t>
      </w:r>
    </w:p>
    <w:p>
      <w:pPr>
        <w:pStyle w:val="ListParagraph"/>
        <w:numPr>
          <w:ilvl w:val="0"/>
          <w:numId w:val="2"/>
        </w:numPr>
        <w:spacing w:after="80" w:line="280"/>
      </w:pPr>
      <w:r>
        <w:rPr>
          <w:rFonts w:ascii="Arial" w:cs="Arial" w:eastAsia="Arial" w:hAnsi="Arial"/>
        </w:rPr>
        <w:t xml:space="preserve">A governed operation. The template (system prompt + variables + output schema + guardrails) is a versioned, immutable artifact once published.</w:t>
      </w:r>
    </w:p>
    <w:p>
      <w:pPr>
        <w:pStyle w:val="Heading2"/>
      </w:pPr>
      <w:r>
        <w:rPr>
          <w:rFonts w:ascii="Arial" w:cs="Arial" w:eastAsia="Arial" w:hAnsi="Arial"/>
        </w:rPr>
        <w:t xml:space="preserve">2.3 What Document-Extract is not</w:t>
      </w:r>
    </w:p>
    <w:p>
      <w:pPr>
        <w:pStyle w:val="ListParagraph"/>
        <w:numPr>
          <w:ilvl w:val="0"/>
          <w:numId w:val="2"/>
        </w:numPr>
        <w:spacing w:after="80" w:line="280"/>
      </w:pPr>
      <w:r>
        <w:rPr>
          <w:rFonts w:ascii="Arial" w:cs="Arial" w:eastAsia="Arial" w:hAnsi="Arial"/>
        </w:rPr>
        <w:t xml:space="preserve">Not a conversational interface. There is exactly one system prompt and one user prompt per invocation.</w:t>
      </w:r>
    </w:p>
    <w:p>
      <w:pPr>
        <w:pStyle w:val="ListParagraph"/>
        <w:numPr>
          <w:ilvl w:val="0"/>
          <w:numId w:val="2"/>
        </w:numPr>
        <w:spacing w:after="80" w:line="280"/>
      </w:pPr>
      <w:r>
        <w:rPr>
          <w:rFonts w:ascii="Arial" w:cs="Arial" w:eastAsia="Arial" w:hAnsi="Arial"/>
        </w:rPr>
        <w:t xml:space="preserve">Not a drafting primitive. It does not author, rewrite, or improve the source. For authoring workflows see the Drafting &amp; Generation primitive.</w:t>
      </w:r>
    </w:p>
    <w:p>
      <w:pPr>
        <w:pStyle w:val="ListParagraph"/>
        <w:numPr>
          <w:ilvl w:val="0"/>
          <w:numId w:val="2"/>
        </w:numPr>
        <w:spacing w:after="80" w:line="280"/>
      </w:pPr>
      <w:r>
        <w:rPr>
          <w:rFonts w:ascii="Arial" w:cs="Arial" w:eastAsia="Arial" w:hAnsi="Arial"/>
        </w:rPr>
        <w:t xml:space="preserve">Not a classification primitive on its own — although extraction records often include classification fields, multi-label classification of whole documents uses the Classify primitive.</w:t>
      </w:r>
    </w:p>
    <w:p>
      <w:pPr>
        <w:pStyle w:val="ListParagraph"/>
        <w:numPr>
          <w:ilvl w:val="0"/>
          <w:numId w:val="2"/>
        </w:numPr>
        <w:spacing w:after="80" w:line="280"/>
      </w:pPr>
      <w:r>
        <w:rPr>
          <w:rFonts w:ascii="Arial" w:cs="Arial" w:eastAsia="Arial" w:hAnsi="Arial"/>
        </w:rPr>
        <w:t xml:space="preserve">Not a retrieval-augmented generation (RAG) primitive. Document-Extract operates on a bounded, explicitly-passed document payload. It does not construct a retrieval index or answer open-ended questions.</w:t>
      </w:r>
    </w:p>
    <w:p>
      <w:pPr>
        <w:pStyle w:val="ListParagraph"/>
        <w:numPr>
          <w:ilvl w:val="0"/>
          <w:numId w:val="2"/>
        </w:numPr>
        <w:spacing w:after="80" w:line="280"/>
      </w:pPr>
      <w:r>
        <w:rPr>
          <w:rFonts w:ascii="Arial" w:cs="Arial" w:eastAsia="Arial" w:hAnsi="Arial"/>
        </w:rPr>
        <w:t xml:space="preserve">Not a multi-document summarizer. It extracts from a single document (or a small, explicitly-identified bundle in the MFG-01 case).</w:t>
      </w:r>
    </w:p>
    <w:p>
      <w:pPr>
        <w:pStyle w:val="Heading2"/>
      </w:pPr>
      <w:r>
        <w:rPr>
          <w:rFonts w:ascii="Arial" w:cs="Arial" w:eastAsia="Arial" w:hAnsi="Arial"/>
        </w:rPr>
        <w:t xml:space="preserve">2.4 Where it fits in the portfolio</w:t>
      </w:r>
    </w:p>
    <w:p>
      <w:pPr>
        <w:spacing w:after="120" w:line="300"/>
      </w:pPr>
      <w:r>
        <w:rPr>
          <w:rFonts w:ascii="Arial" w:cs="Arial" w:eastAsia="Arial" w:hAnsi="Arial"/>
        </w:rPr>
        <w:t xml:space="preserve">Document-Extract is the foundation primitive for the portfolio because almost every application in the Marketplace catalog needs to read a customer document and hand its structured contents to a downstream workflow. In Wave 1:</w:t>
      </w:r>
    </w:p>
    <w:p>
      <w:pPr>
        <w:pStyle w:val="ListParagraph"/>
        <w:numPr>
          <w:ilvl w:val="0"/>
          <w:numId w:val="2"/>
        </w:numPr>
        <w:spacing w:after="80" w:line="280"/>
      </w:pPr>
      <w:r>
        <w:rPr>
          <w:rFonts w:ascii="Arial" w:cs="Arial" w:eastAsia="Arial" w:hAnsi="Arial"/>
        </w:rPr>
        <w:t xml:space="preserve">SCM-02 — RFQ Intake &amp; Clause Triager: </w:t>
      </w:r>
      <w:r>
        <w:rPr>
          <w:rFonts w:ascii="Arial" w:cs="Arial" w:eastAsia="Arial" w:hAnsi="Arial"/>
          <w:i/>
          <w:iCs/>
        </w:rPr>
        <w:t xml:space="preserve">Document-Extract feeds the clause-routing workflow and the bid/no-bid dashboard.</w:t>
      </w:r>
    </w:p>
    <w:p>
      <w:pPr>
        <w:pStyle w:val="ListParagraph"/>
        <w:numPr>
          <w:ilvl w:val="0"/>
          <w:numId w:val="2"/>
        </w:numPr>
        <w:spacing w:after="80" w:line="280"/>
      </w:pPr>
      <w:r>
        <w:rPr>
          <w:rFonts w:ascii="Arial" w:cs="Arial" w:eastAsia="Arial" w:hAnsi="Arial"/>
        </w:rPr>
        <w:t xml:space="preserve">ENG-01 — Requirements Extraction &amp; Traceability: </w:t>
      </w:r>
      <w:r>
        <w:rPr>
          <w:rFonts w:ascii="Arial" w:cs="Arial" w:eastAsia="Arial" w:hAnsi="Arial"/>
          <w:i/>
          <w:iCs/>
        </w:rPr>
        <w:t xml:space="preserve">Document-Extract feeds the requirements baseline that ENG-05 decomposes and ENG-04 tests.</w:t>
      </w:r>
    </w:p>
    <w:p>
      <w:pPr>
        <w:pStyle w:val="ListParagraph"/>
        <w:numPr>
          <w:ilvl w:val="0"/>
          <w:numId w:val="2"/>
        </w:numPr>
        <w:spacing w:after="80" w:line="280"/>
      </w:pPr>
      <w:r>
        <w:rPr>
          <w:rFonts w:ascii="Arial" w:cs="Arial" w:eastAsia="Arial" w:hAnsi="Arial"/>
        </w:rPr>
        <w:t xml:space="preserve">MFG-01 — Guided Work-Instruction Author: </w:t>
      </w:r>
      <w:r>
        <w:rPr>
          <w:rFonts w:ascii="Arial" w:cs="Arial" w:eastAsia="Arial" w:hAnsi="Arial"/>
          <w:i/>
          <w:iCs/>
        </w:rPr>
        <w:t xml:space="preserve">Document-Extract feeds the copilot that drafts operator-facing steps.</w:t>
      </w:r>
    </w:p>
    <w:p>
      <w:pPr>
        <w:pStyle w:val="Heading1"/>
        <w:pageBreakBefore/>
      </w:pPr>
      <w:r>
        <w:rPr>
          <w:rFonts w:ascii="Arial" w:cs="Arial" w:eastAsia="Arial" w:hAnsi="Arial"/>
        </w:rPr>
        <w:t xml:space="preserve">3. Design Principles</w:t>
      </w:r>
    </w:p>
    <w:p>
      <w:pPr>
        <w:spacing w:after="120" w:line="300"/>
      </w:pPr>
      <w:r>
        <w:rPr>
          <w:rFonts w:ascii="Arial" w:cs="Arial" w:eastAsia="Arial" w:hAnsi="Arial"/>
        </w:rPr>
        <w:t xml:space="preserve">Every template in the library inherits these principles, and every framework-level enforcement mechanism exists to uphold one of them.</w:t>
      </w:r>
    </w:p>
    <w:p>
      <w:pPr>
        <w:pStyle w:val="Heading3"/>
      </w:pPr>
      <w:r>
        <w:rPr>
          <w:rFonts w:ascii="Arial" w:cs="Arial" w:eastAsia="Arial" w:hAnsi="Arial"/>
        </w:rPr>
        <w:t xml:space="preserve">3.1 Extract, do not author</w:t>
      </w:r>
    </w:p>
    <w:p>
      <w:pPr>
        <w:spacing w:after="120" w:line="300"/>
      </w:pPr>
      <w:r>
        <w:rPr>
          <w:rFonts w:ascii="Arial" w:cs="Arial" w:eastAsia="Arial" w:hAnsi="Arial"/>
        </w:rPr>
        <w:t xml:space="preserve">The system prompt of every template contains a &lt;mandate&gt; section that explicitly lists what the template does NOT do. This keeps boundaries between primitives sharp: a Document-Extract template never produces a work instruction, never rewrites a requirement, and never generates test cases. Those are downstream primitives.</w:t>
      </w:r>
    </w:p>
    <w:p>
      <w:pPr>
        <w:pStyle w:val="Heading3"/>
      </w:pPr>
      <w:r>
        <w:rPr>
          <w:rFonts w:ascii="Arial" w:cs="Arial" w:eastAsia="Arial" w:hAnsi="Arial"/>
        </w:rPr>
        <w:t xml:space="preserve">3.2 Cite every fact</w:t>
      </w:r>
    </w:p>
    <w:p>
      <w:pPr>
        <w:spacing w:after="120" w:line="300"/>
      </w:pPr>
      <w:r>
        <w:rPr>
          <w:rFonts w:ascii="Arial" w:cs="Arial" w:eastAsia="Arial" w:hAnsi="Arial"/>
        </w:rPr>
        <w:t xml:space="preserve">Every extracted object carries a citation object with a page number and either a section identifier, drawing zone, or note identifier. Missing citations cause the invocation to be marked SchemaInvalid. Reviewers can always jump from an extracted fact to the exact passage it came from.</w:t>
      </w:r>
    </w:p>
    <w:p>
      <w:pPr>
        <w:pStyle w:val="Heading3"/>
      </w:pPr>
      <w:r>
        <w:rPr>
          <w:rFonts w:ascii="Arial" w:cs="Arial" w:eastAsia="Arial" w:hAnsi="Arial"/>
        </w:rPr>
        <w:t xml:space="preserve">3.3 Verbatim preservation</w:t>
      </w:r>
    </w:p>
    <w:p>
      <w:pPr>
        <w:spacing w:after="120" w:line="300"/>
      </w:pPr>
      <w:r>
        <w:rPr>
          <w:rFonts w:ascii="Arial" w:cs="Arial" w:eastAsia="Arial" w:hAnsi="Arial"/>
        </w:rPr>
        <w:t xml:space="preserve">Every extracted span carries a verbatim_source_text (or extracted_text, or quote) that is a character-for-character excerpt of the source. A framework-level guardrail cross-checks this against the source text after the completion returns. This protects against paraphrasing drift, which is especially dangerous for shall-statements and torque specs.</w:t>
      </w:r>
    </w:p>
    <w:p>
      <w:pPr>
        <w:pStyle w:val="Heading3"/>
      </w:pPr>
      <w:r>
        <w:rPr>
          <w:rFonts w:ascii="Arial" w:cs="Arial" w:eastAsia="Arial" w:hAnsi="Arial"/>
        </w:rPr>
        <w:t xml:space="preserve">3.4 Deterministic output</w:t>
      </w:r>
    </w:p>
    <w:p>
      <w:pPr>
        <w:spacing w:after="120" w:line="300"/>
      </w:pPr>
      <w:r>
        <w:rPr>
          <w:rFonts w:ascii="Arial" w:cs="Arial" w:eastAsia="Arial" w:hAnsi="Arial"/>
        </w:rPr>
        <w:t xml:space="preserve">Temperature is fixed at 0.0 for the primitive. The output must be a single JSON object beginning with `{` and ending with `}`, with no prose, no markdown fences, and no preamble. The schema is validated after every invocation; a failure triggers one automatic retry where the validation error is appended to the user prompt as a corrective message, and a second failure routes to the reviewer queue.</w:t>
      </w:r>
    </w:p>
    <w:p>
      <w:pPr>
        <w:pStyle w:val="Heading3"/>
      </w:pPr>
      <w:r>
        <w:rPr>
          <w:rFonts w:ascii="Arial" w:cs="Arial" w:eastAsia="Arial" w:hAnsi="Arial"/>
        </w:rPr>
        <w:t xml:space="preserve">3.5 Self-assessed confidence with a floor</w:t>
      </w:r>
    </w:p>
    <w:p>
      <w:pPr>
        <w:spacing w:after="120" w:line="300"/>
      </w:pPr>
      <w:r>
        <w:rPr>
          <w:rFonts w:ascii="Arial" w:cs="Arial" w:eastAsia="Arial" w:hAnsi="Arial"/>
        </w:rPr>
        <w:t xml:space="preserve">Every template carries a MinConfidenceThreshold. The model reports an overall_confidence in [0, 1]. Completions below the floor are not accepted silently — they are routed to a human reviewer queue with the completion attached. This is a graceful-degradation mechanism for the LLM’s inherent fuzziness.</w:t>
      </w:r>
    </w:p>
    <w:p>
      <w:pPr>
        <w:pStyle w:val="Heading3"/>
      </w:pPr>
      <w:r>
        <w:rPr>
          <w:rFonts w:ascii="Arial" w:cs="Arial" w:eastAsia="Arial" w:hAnsi="Arial"/>
        </w:rPr>
        <w:t xml:space="preserve">3.6 Prompt-injection defense</w:t>
      </w:r>
    </w:p>
    <w:p>
      <w:pPr>
        <w:spacing w:after="120" w:line="300"/>
      </w:pPr>
      <w:r>
        <w:rPr>
          <w:rFonts w:ascii="Arial" w:cs="Arial" w:eastAsia="Arial" w:hAnsi="Arial"/>
        </w:rPr>
        <w:t xml:space="preserve">The system prompt instructs the model to ignore instructions that appear inside the document body. In addition, a declarative PromptInjectionDefense guardrail in the framework layer scans the rendered user prompt for override directives and either strips them or refuses the invocation, depending on configuration.</w:t>
      </w:r>
    </w:p>
    <w:p>
      <w:pPr>
        <w:pStyle w:val="Heading3"/>
      </w:pPr>
      <w:r>
        <w:rPr>
          <w:rFonts w:ascii="Arial" w:cs="Arial" w:eastAsia="Arial" w:hAnsi="Arial"/>
        </w:rPr>
        <w:t xml:space="preserve">3.7 Data-sensitivity-aware routing</w:t>
      </w:r>
    </w:p>
    <w:p>
      <w:pPr>
        <w:spacing w:after="120" w:line="300"/>
      </w:pPr>
      <w:r>
        <w:rPr>
          <w:rFonts w:ascii="Arial" w:cs="Arial" w:eastAsia="Arial" w:hAnsi="Arial"/>
        </w:rPr>
        <w:t xml:space="preserve">Every template declares a DataSensitivityTier. The DataClassificationRoute guardrail uses this to pick a compliant backend. For the Wave 1 A&amp;D templates, the tier is </w:t>
      </w:r>
      <w:r>
        <w:rPr>
          <w:rFonts w:ascii="Arial" w:cs="Arial" w:eastAsia="Arial" w:hAnsi="Arial"/>
          <w:b/>
          <w:bCs/>
        </w:rPr>
        <w:t xml:space="preserve">ITAR</w:t>
      </w:r>
      <w:r>
        <w:rPr>
          <w:rFonts w:ascii="Arial" w:cs="Arial" w:eastAsia="Arial" w:hAnsi="Arial"/>
        </w:rPr>
        <w:t xml:space="preserve">, and the only allowed backends are Bedrock_Claude (deployed in an AWS GovCloud account) and OnPremGateway. Public-cloud OpenAI and Vertex backends are blocked by the framework and cannot be selected by a developer at invocation time.</w:t>
      </w:r>
    </w:p>
    <w:p>
      <w:pPr>
        <w:pStyle w:val="Heading3"/>
      </w:pPr>
      <w:r>
        <w:rPr>
          <w:rFonts w:ascii="Arial" w:cs="Arial" w:eastAsia="Arial" w:hAnsi="Arial"/>
        </w:rPr>
        <w:t xml:space="preserve">3.8 Immutability after publish</w:t>
      </w:r>
    </w:p>
    <w:p>
      <w:pPr>
        <w:spacing w:after="120" w:line="300"/>
      </w:pPr>
      <w:r>
        <w:rPr>
          <w:rFonts w:ascii="Arial" w:cs="Arial" w:eastAsia="Arial" w:hAnsi="Arial"/>
        </w:rPr>
        <w:t xml:space="preserve">A PromptTemplate with Status = Published cannot be edited. Any correction requires a new Version. This is what makes the audit trail useful: if an Engineering Change Review in 2030 asks why a particular requirement was classified as Performance rather than Functional, the reviewer can look up the exact rendered prompt and exact model that produced that classification.</w:t>
      </w:r>
    </w:p>
    <w:p>
      <w:pPr>
        <w:pStyle w:val="Heading1"/>
        <w:pageBreakBefore/>
      </w:pPr>
      <w:r>
        <w:rPr>
          <w:rFonts w:ascii="Arial" w:cs="Arial" w:eastAsia="Arial" w:hAnsi="Arial"/>
        </w:rPr>
        <w:t xml:space="preserve">4. Entity Model</w:t>
      </w:r>
    </w:p>
    <w:p>
      <w:pPr>
        <w:spacing w:after="120" w:line="300"/>
      </w:pPr>
      <w:r>
        <w:rPr>
          <w:rFonts w:ascii="Arial" w:cs="Arial" w:eastAsia="Arial" w:hAnsi="Arial"/>
        </w:rPr>
        <w:t xml:space="preserve">The primitive is implemented by a set of Mendix entities in the </w:t>
      </w:r>
      <w:r>
        <w:rPr>
          <w:rFonts w:ascii="Consolas" w:cs="Consolas" w:eastAsia="Consolas" w:hAnsi="Consolas"/>
          <w:color w:val="111827"/>
          <w:sz w:val="20"/>
          <w:szCs w:val="20"/>
        </w:rPr>
        <w:t xml:space="preserve">AIInteractionFramework</w:t>
      </w:r>
      <w:r>
        <w:rPr>
          <w:rFonts w:ascii="Arial" w:cs="Arial" w:eastAsia="Arial" w:hAnsi="Arial"/>
        </w:rPr>
        <w:t xml:space="preserve"> module. The JSON representation that template library files use (the import format) maps one-to-one to these entities. The entity model is specified formally in </w:t>
      </w:r>
      <w:r>
        <w:rPr>
          <w:rFonts w:ascii="Consolas" w:cs="Consolas" w:eastAsia="Consolas" w:hAnsi="Consolas"/>
          <w:color w:val="111827"/>
          <w:sz w:val="20"/>
          <w:szCs w:val="20"/>
        </w:rPr>
        <w:t xml:space="preserve">primitives/templates/_entity-model.json</w:t>
      </w:r>
      <w:r>
        <w:rPr>
          <w:rFonts w:ascii="Arial" w:cs="Arial" w:eastAsia="Arial" w:hAnsi="Arial"/>
        </w:rPr>
        <w:t xml:space="preserve">; the table below is a summary.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2260"/>
      </w:tblGrid>
      <w:tr>
        <w:trPr>
          <w:tblHeader/>
        </w:trPr>
        <w:tc>
          <w:tcPr>
            <w:tcW w:type="dxa" w:w="21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Entity</w:t>
            </w:r>
          </w:p>
        </w:tc>
        <w:tc>
          <w:tcPr>
            <w:tcW w:type="dxa" w:w="50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Purpose</w:t>
            </w:r>
          </w:p>
        </w:tc>
        <w:tc>
          <w:tcPr>
            <w:tcW w:type="dxa" w:w="22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Lifecycle</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b/>
                <w:bCs/>
                <w:color w:val="111827"/>
                <w:sz w:val="20"/>
                <w:szCs w:val="20"/>
              </w:rPr>
              <w:t xml:space="preserve">PromptTemplate</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The governed artifact: system prompt, user-prompt template, output schema, variables, few-shot examples, guardrails, versioning, and data-sensitivity tier.</w:t>
            </w:r>
          </w:p>
        </w:tc>
        <w:tc>
          <w:tcPr>
            <w:tcW w:type="dxa" w:w="2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Draft → InReview → Published → Deprecated</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PromptVariable</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named, typed input slot referenced by {{name}} in UserPromptTemplate. Used by the runtime to validate inputs before invocation.</w:t>
            </w:r>
          </w:p>
        </w:tc>
        <w:tc>
          <w:tcPr>
            <w:tcW w:type="dxa" w:w="2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Composite child of PromptTemplate</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FewShotExample</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(input, expected-output) pair rendered inline in the user prompt. One or two per template is typical.</w:t>
            </w:r>
          </w:p>
        </w:tc>
        <w:tc>
          <w:tcPr>
            <w:tcW w:type="dxa" w:w="2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Composite child of PromptTemplate</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Guardrail</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Declarative policy attached to a template: schema validation, citation requirement, confidence floor, data-classification routing, verbatim check, prompt-injection defense.</w:t>
            </w:r>
          </w:p>
        </w:tc>
        <w:tc>
          <w:tcPr>
            <w:tcW w:type="dxa" w:w="2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Referential child of PromptTemplate</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ExtractionInvocation</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One execution of a Document-Extract template. Append-only audit record. Captures rendered prompts, payload, backend/model, tokens, latency, schema validity, confidence, status.</w:t>
            </w:r>
          </w:p>
        </w:tc>
        <w:tc>
          <w:tcPr>
            <w:tcW w:type="dxa" w:w="2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Success / SchemaInvalid / LowConfidence / Refused / Error</w:t>
            </w:r>
          </w:p>
        </w:tc>
      </w:tr>
      <w:tr>
        <w:tc>
          <w:tcPr>
            <w:tcW w:type="dxa" w:w="2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Citation</w:t>
            </w:r>
          </w:p>
        </w:tc>
        <w:tc>
          <w:tcPr>
            <w:tcW w:type="dxa" w:w="5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Per-field pointer from an extracted value back to its source location (document ID, page, section/zone/note). Parsed from the completion and persisted for audit.</w:t>
            </w:r>
          </w:p>
        </w:tc>
        <w:tc>
          <w:tcPr>
            <w:tcW w:type="dxa" w:w="22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Composite child of ExtractionInvocation</w:t>
            </w:r>
          </w:p>
        </w:tc>
      </w:tr>
    </w:tbl>
    <w:p>
      <w:pPr>
        <w:spacing w:after="120"/>
      </w:pPr>
      <w:r>
        <w:t xml:space="preserve"/>
      </w:r>
    </w:p>
    <w:p>
      <w:pPr>
        <w:pStyle w:val="Heading2"/>
      </w:pPr>
      <w:r>
        <w:rPr>
          <w:rFonts w:ascii="Arial" w:cs="Arial" w:eastAsia="Arial" w:hAnsi="Arial"/>
        </w:rPr>
        <w:t xml:space="preserve">4.1 Uniqueness and immutability</w:t>
      </w:r>
    </w:p>
    <w:p>
      <w:pPr>
        <w:spacing w:after="120" w:line="300"/>
      </w:pPr>
      <w:r>
        <w:rPr>
          <w:rFonts w:ascii="Consolas" w:cs="Consolas" w:eastAsia="Consolas" w:hAnsi="Consolas"/>
          <w:color w:val="111827"/>
          <w:sz w:val="20"/>
          <w:szCs w:val="20"/>
        </w:rPr>
        <w:t xml:space="preserve">PromptTemplate</w:t>
      </w:r>
      <w:r>
        <w:rPr>
          <w:rFonts w:ascii="Arial" w:cs="Arial" w:eastAsia="Arial" w:hAnsi="Arial"/>
        </w:rPr>
        <w:t xml:space="preserve"> has a unique constraint on </w:t>
      </w:r>
      <w:r>
        <w:rPr>
          <w:rFonts w:ascii="Consolas" w:cs="Consolas" w:eastAsia="Consolas" w:hAnsi="Consolas"/>
          <w:color w:val="111827"/>
          <w:sz w:val="20"/>
          <w:szCs w:val="20"/>
        </w:rPr>
        <w:t xml:space="preserve">(Code, Version)</w:t>
      </w:r>
      <w:r>
        <w:rPr>
          <w:rFonts w:ascii="Arial" w:cs="Arial" w:eastAsia="Arial" w:hAnsi="Arial"/>
        </w:rPr>
        <w:t xml:space="preserve">. Once </w:t>
      </w:r>
      <w:r>
        <w:rPr>
          <w:rFonts w:ascii="Consolas" w:cs="Consolas" w:eastAsia="Consolas" w:hAnsi="Consolas"/>
          <w:color w:val="111827"/>
          <w:sz w:val="20"/>
          <w:szCs w:val="20"/>
        </w:rPr>
        <w:t xml:space="preserve">Status = Published</w:t>
      </w:r>
      <w:r>
        <w:rPr>
          <w:rFonts w:ascii="Arial" w:cs="Arial" w:eastAsia="Arial" w:hAnsi="Arial"/>
        </w:rPr>
        <w:t xml:space="preserve">, the record cannot be edited — the Mendix microflow layer rejects the save. </w:t>
      </w:r>
      <w:r>
        <w:rPr>
          <w:rFonts w:ascii="Consolas" w:cs="Consolas" w:eastAsia="Consolas" w:hAnsi="Consolas"/>
          <w:color w:val="111827"/>
          <w:sz w:val="20"/>
          <w:szCs w:val="20"/>
        </w:rPr>
        <w:t xml:space="preserve">ExtractionInvocation</w:t>
      </w:r>
      <w:r>
        <w:rPr>
          <w:rFonts w:ascii="Arial" w:cs="Arial" w:eastAsia="Arial" w:hAnsi="Arial"/>
        </w:rPr>
        <w:t xml:space="preserve"> and </w:t>
      </w:r>
      <w:r>
        <w:rPr>
          <w:rFonts w:ascii="Consolas" w:cs="Consolas" w:eastAsia="Consolas" w:hAnsi="Consolas"/>
          <w:color w:val="111827"/>
          <w:sz w:val="20"/>
          <w:szCs w:val="20"/>
        </w:rPr>
        <w:t xml:space="preserve">Citation</w:t>
      </w:r>
      <w:r>
        <w:rPr>
          <w:rFonts w:ascii="Arial" w:cs="Arial" w:eastAsia="Arial" w:hAnsi="Arial"/>
        </w:rPr>
        <w:t xml:space="preserve"> are append-only. A delete microflow on these entities is deliberately absent; the framework relies on the platform’s retention policy for purging old audit rows, and retention is tier-aware.</w:t>
      </w:r>
    </w:p>
    <w:p>
      <w:pPr>
        <w:pStyle w:val="Heading2"/>
      </w:pPr>
      <w:r>
        <w:rPr>
          <w:rFonts w:ascii="Arial" w:cs="Arial" w:eastAsia="Arial" w:hAnsi="Arial"/>
        </w:rPr>
        <w:t xml:space="preserve">4.2 Why two bodies of text (SystemPrompt and UserPromptTemplate)</w:t>
      </w:r>
    </w:p>
    <w:p>
      <w:pPr>
        <w:spacing w:after="120" w:line="300"/>
      </w:pPr>
      <w:r>
        <w:rPr>
          <w:rFonts w:ascii="Arial" w:cs="Arial" w:eastAsia="Arial" w:hAnsi="Arial"/>
        </w:rPr>
        <w:t xml:space="preserve">The system prompt is the governed artifact. It contains the role, the mandate, the invariants, and the output contract. It is authored once, reviewed, and frozen for the version. The user-prompt template, on the other hand, is how the runtime injects per-invocation data: the document text, the document ID, the downstream hints. Keeping these separate lets the framework enforce different controls on each — for example, redaction of PII only applies to the rendered user prompt, not to the stable system prompt.</w:t>
      </w:r>
    </w:p>
    <w:p>
      <w:pPr>
        <w:pStyle w:val="Heading1"/>
        <w:pageBreakBefore/>
      </w:pPr>
      <w:r>
        <w:rPr>
          <w:rFonts w:ascii="Arial" w:cs="Arial" w:eastAsia="Arial" w:hAnsi="Arial"/>
        </w:rPr>
        <w:t xml:space="preserve">5. Template Lifecycle</w:t>
      </w:r>
    </w:p>
    <w:p>
      <w:pPr>
        <w:pStyle w:val="Heading2"/>
      </w:pPr>
      <w:r>
        <w:rPr>
          <w:rFonts w:ascii="Arial" w:cs="Arial" w:eastAsia="Arial" w:hAnsi="Arial"/>
        </w:rPr>
        <w:t xml:space="preserve">5.1 States</w:t>
      </w:r>
    </w:p>
    <w:p>
      <w:pPr>
        <w:spacing w:after="120" w:line="300"/>
      </w:pPr>
      <w:r>
        <w:rPr>
          <w:rFonts w:ascii="Arial" w:cs="Arial" w:eastAsia="Arial" w:hAnsi="Arial"/>
        </w:rPr>
        <w:t xml:space="preserve">A PromptTemplate moves through four states. Transitions are Mendix microflows that enforce invariants at each step.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60"/>
        <w:gridCol w:w="1600"/>
        <w:gridCol w:w="4400"/>
      </w:tblGrid>
      <w:tr>
        <w:trPr>
          <w:tblHeader/>
        </w:trPr>
        <w:tc>
          <w:tcPr>
            <w:tcW w:type="dxa" w:w="17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State</w:t>
            </w:r>
          </w:p>
        </w:tc>
        <w:tc>
          <w:tcPr>
            <w:tcW w:type="dxa" w:w="16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Invokable?</w:t>
            </w:r>
          </w:p>
        </w:tc>
        <w:tc>
          <w:tcPr>
            <w:tcW w:type="dxa" w:w="16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Editable?</w:t>
            </w:r>
          </w:p>
        </w:tc>
        <w:tc>
          <w:tcPr>
            <w:tcW w:type="dxa" w:w="4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Transition rules</w:t>
            </w:r>
          </w:p>
        </w:tc>
      </w:tr>
      <w:tr>
        <w:tc>
          <w:tcPr>
            <w:tcW w:type="dxa" w:w="17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Draft</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(dev-test only)</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Initial state on import. Can be edited, moved to InReview, or deleted. Cannot be invoked from production apps; can be invoked from the template test harness.</w:t>
            </w:r>
          </w:p>
        </w:tc>
      </w:tr>
      <w:tr>
        <w:tc>
          <w:tcPr>
            <w:tcW w:type="dxa" w:w="17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InReview</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 (dev-test only)</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Reviewer (Template Owner role) evaluates the template against the test corpus. Outcomes: approve → Published, or reject → Draft with comments.</w:t>
            </w:r>
          </w:p>
        </w:tc>
      </w:tr>
      <w:tr>
        <w:tc>
          <w:tcPr>
            <w:tcW w:type="dxa" w:w="17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Published</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Yes</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Frozen. (Code, Version) tuple is immutable. Invokable from any consumer app that has Permission = Invoke on this Code. Corrections require a new Version.</w:t>
            </w:r>
          </w:p>
        </w:tc>
      </w:tr>
      <w:tr>
        <w:tc>
          <w:tcPr>
            <w:tcW w:type="dxa" w:w="17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Deprecated</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Read-only replay</w:t>
            </w:r>
          </w:p>
        </w:tc>
        <w:tc>
          <w:tcPr>
            <w:tcW w:type="dxa" w:w="1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w:t>
            </w:r>
          </w:p>
        </w:tc>
        <w:tc>
          <w:tcPr>
            <w:tcW w:type="dxa" w:w="4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Terminal state. Old invocations still replayable for audit. New invocations blocked. SupersededByCode points to the replacement.</w:t>
            </w:r>
          </w:p>
        </w:tc>
      </w:tr>
    </w:tbl>
    <w:p>
      <w:pPr>
        <w:spacing w:after="120"/>
      </w:pPr>
      <w:r>
        <w:t xml:space="preserve"/>
      </w:r>
    </w:p>
    <w:p>
      <w:pPr>
        <w:pStyle w:val="Heading2"/>
      </w:pPr>
      <w:r>
        <w:rPr>
          <w:rFonts w:ascii="Arial" w:cs="Arial" w:eastAsia="Arial" w:hAnsi="Arial"/>
        </w:rPr>
        <w:t xml:space="preserve">5.2 Versioning</w:t>
      </w:r>
    </w:p>
    <w:p>
      <w:pPr>
        <w:spacing w:after="120" w:line="300"/>
      </w:pPr>
      <w:r>
        <w:rPr>
          <w:rFonts w:ascii="Arial" w:cs="Arial" w:eastAsia="Arial" w:hAnsi="Arial"/>
        </w:rPr>
        <w:t xml:space="preserve">Template versions follow semantic versioning: </w:t>
      </w:r>
      <w:r>
        <w:rPr>
          <w:rFonts w:ascii="Consolas" w:cs="Consolas" w:eastAsia="Consolas" w:hAnsi="Consolas"/>
          <w:color w:val="111827"/>
          <w:sz w:val="20"/>
          <w:szCs w:val="20"/>
        </w:rPr>
        <w:t xml:space="preserve">MAJOR.MINOR.PATCH</w:t>
      </w:r>
      <w:r>
        <w:rPr>
          <w:rFonts w:ascii="Arial" w:cs="Arial" w:eastAsia="Arial" w:hAnsi="Arial"/>
        </w:rPr>
        <w:t xml:space="preserve">.</w:t>
      </w:r>
    </w:p>
    <w:p>
      <w:pPr>
        <w:pStyle w:val="ListParagraph"/>
        <w:numPr>
          <w:ilvl w:val="0"/>
          <w:numId w:val="2"/>
        </w:numPr>
        <w:spacing w:after="80" w:line="280"/>
      </w:pPr>
      <w:r>
        <w:rPr>
          <w:rFonts w:ascii="Arial" w:cs="Arial" w:eastAsia="Arial" w:hAnsi="Arial"/>
        </w:rPr>
        <w:t xml:space="preserve">PATCH — typo fixes, clarifications to the system prompt that do not change the output schema or behavior.</w:t>
      </w:r>
    </w:p>
    <w:p>
      <w:pPr>
        <w:pStyle w:val="ListParagraph"/>
        <w:numPr>
          <w:ilvl w:val="0"/>
          <w:numId w:val="2"/>
        </w:numPr>
        <w:spacing w:after="80" w:line="280"/>
      </w:pPr>
      <w:r>
        <w:rPr>
          <w:rFonts w:ascii="Arial" w:cs="Arial" w:eastAsia="Arial" w:hAnsi="Arial"/>
        </w:rPr>
        <w:t xml:space="preserve">MINOR — additive changes to the output schema (new optional fields, new enum values), or new guardrails that do not reject previously valid outputs.</w:t>
      </w:r>
    </w:p>
    <w:p>
      <w:pPr>
        <w:pStyle w:val="ListParagraph"/>
        <w:numPr>
          <w:ilvl w:val="0"/>
          <w:numId w:val="2"/>
        </w:numPr>
        <w:spacing w:after="80" w:line="280"/>
      </w:pPr>
      <w:r>
        <w:rPr>
          <w:rFonts w:ascii="Arial" w:cs="Arial" w:eastAsia="Arial" w:hAnsi="Arial"/>
        </w:rPr>
        <w:t xml:space="preserve">MAJOR — breaking changes to the output schema (removed fields, narrowed enums, renamed keys), or a change that alters downstream consumer expectations.</w:t>
      </w:r>
    </w:p>
    <w:p>
      <w:pPr>
        <w:pStyle w:val="Heading2"/>
      </w:pPr>
      <w:r>
        <w:rPr>
          <w:rFonts w:ascii="Arial" w:cs="Arial" w:eastAsia="Arial" w:hAnsi="Arial"/>
        </w:rPr>
        <w:t xml:space="preserve">5.3 Approval gates</w:t>
      </w:r>
    </w:p>
    <w:p>
      <w:pPr>
        <w:spacing w:after="120" w:line="300"/>
      </w:pPr>
      <w:r>
        <w:rPr>
          <w:rFonts w:ascii="Arial" w:cs="Arial" w:eastAsia="Arial" w:hAnsi="Arial"/>
        </w:rPr>
        <w:t xml:space="preserve">Moving a template from InReview to Published requires:</w:t>
      </w:r>
    </w:p>
    <w:p>
      <w:pPr>
        <w:pStyle w:val="ListParagraph"/>
        <w:numPr>
          <w:ilvl w:val="0"/>
          <w:numId w:val="3"/>
        </w:numPr>
        <w:spacing w:after="80" w:line="280"/>
      </w:pPr>
      <w:r>
        <w:rPr>
          <w:rFonts w:ascii="Arial" w:cs="Arial" w:eastAsia="Arial" w:hAnsi="Arial"/>
        </w:rPr>
        <w:t xml:space="preserve">All few-shot examples validate against the output schema.</w:t>
      </w:r>
    </w:p>
    <w:p>
      <w:pPr>
        <w:pStyle w:val="ListParagraph"/>
        <w:numPr>
          <w:ilvl w:val="0"/>
          <w:numId w:val="3"/>
        </w:numPr>
        <w:spacing w:after="80" w:line="280"/>
      </w:pPr>
      <w:r>
        <w:rPr>
          <w:rFonts w:ascii="Arial" w:cs="Arial" w:eastAsia="Arial" w:hAnsi="Arial"/>
        </w:rPr>
        <w:t xml:space="preserve">The test corpus (see Evaluation, §8) has been run at the target MinConfidenceThreshold and meets the quality bars.</w:t>
      </w:r>
    </w:p>
    <w:p>
      <w:pPr>
        <w:pStyle w:val="ListParagraph"/>
        <w:numPr>
          <w:ilvl w:val="0"/>
          <w:numId w:val="3"/>
        </w:numPr>
        <w:spacing w:after="80" w:line="280"/>
      </w:pPr>
      <w:r>
        <w:rPr>
          <w:rFonts w:ascii="Arial" w:cs="Arial" w:eastAsia="Arial" w:hAnsi="Arial"/>
        </w:rPr>
        <w:t xml:space="preserve">A named reviewer has approved the record.</w:t>
      </w:r>
    </w:p>
    <w:p>
      <w:pPr>
        <w:pStyle w:val="ListParagraph"/>
        <w:numPr>
          <w:ilvl w:val="0"/>
          <w:numId w:val="3"/>
        </w:numPr>
        <w:spacing w:after="80" w:line="280"/>
      </w:pPr>
      <w:r>
        <w:rPr>
          <w:rFonts w:ascii="Arial" w:cs="Arial" w:eastAsia="Arial" w:hAnsi="Arial"/>
        </w:rPr>
        <w:t xml:space="preserve">The DataSensitivityTier is reviewed against the tier of every consumer application that declares itself as a downstream consumer of the template.</w:t>
      </w:r>
    </w:p>
    <w:p>
      <w:pPr>
        <w:pStyle w:val="Heading1"/>
        <w:pageBreakBefore/>
      </w:pPr>
      <w:r>
        <w:rPr>
          <w:rFonts w:ascii="Arial" w:cs="Arial" w:eastAsia="Arial" w:hAnsi="Arial"/>
        </w:rPr>
        <w:t xml:space="preserve">6. Governance</w:t>
      </w:r>
    </w:p>
    <w:p>
      <w:pPr>
        <w:pStyle w:val="Heading2"/>
      </w:pPr>
      <w:r>
        <w:rPr>
          <w:rFonts w:ascii="Arial" w:cs="Arial" w:eastAsia="Arial" w:hAnsi="Arial"/>
        </w:rPr>
        <w:t xml:space="preserve">6.1 Roles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Role</w:t>
            </w:r>
          </w:p>
        </w:tc>
        <w:tc>
          <w:tcPr>
            <w:tcW w:type="dxa" w:w="69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Permissions</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Template Author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Create, edit, delete templates in Draft. Move Draft → InReview. Cannot publish.</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Template Reviewer / Owner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Approve InReview → Published. Approve Published → Deprecated. Cannot edit a record in any state (except to add a comment).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Consumer App Developer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Invoke Published templates from their application. Read ExtractionInvocation records their app produced.</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Auditor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Read all ExtractionInvocation records including rendered prompts. Cannot invoke or edit.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Security / Export-Control Officer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Set or change DataSensitivityTier on any template. Veto publication.</w:t>
            </w:r>
          </w:p>
        </w:tc>
      </w:tr>
    </w:tbl>
    <w:p>
      <w:pPr>
        <w:spacing w:after="120"/>
      </w:pPr>
      <w:r>
        <w:t xml:space="preserve"/>
      </w:r>
    </w:p>
    <w:p>
      <w:pPr>
        <w:pStyle w:val="Heading2"/>
      </w:pPr>
      <w:r>
        <w:rPr>
          <w:rFonts w:ascii="Arial" w:cs="Arial" w:eastAsia="Arial" w:hAnsi="Arial"/>
        </w:rPr>
        <w:t xml:space="preserve">6.2 Data-sensitivity tiers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rPr>
          <w:tblHeader/>
        </w:trPr>
        <w:tc>
          <w:tcPr>
            <w:tcW w:type="dxa" w:w="16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Tier</w:t>
            </w:r>
          </w:p>
        </w:tc>
        <w:tc>
          <w:tcPr>
            <w:tcW w:type="dxa" w:w="41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Allowed backends</w:t>
            </w:r>
          </w:p>
        </w:tc>
        <w:tc>
          <w:tcPr>
            <w:tcW w:type="dxa" w:w="36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Typical usage</w:t>
            </w:r>
          </w:p>
        </w:tc>
      </w:tr>
      <w:tr>
        <w:tc>
          <w:tcPr>
            <w:tcW w:type="dxa" w:w="16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Public</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Generic corporate data, press releases.</w:t>
            </w:r>
          </w:p>
        </w:tc>
      </w:tr>
      <w:tr>
        <w:tc>
          <w:tcPr>
            <w:tcW w:type="dxa" w:w="16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Any, with tenancy controls</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Commercial non-A&amp;D applications.</w:t>
            </w:r>
          </w:p>
        </w:tc>
      </w:tr>
      <w:tr>
        <w:tc>
          <w:tcPr>
            <w:tcW w:type="dxa" w:w="16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ITAR</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Bedrock_Claude (GovCloud), OnPremGateway</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All Wave 1 A&amp;D templates. USML-controlled technical data.</w:t>
            </w:r>
          </w:p>
        </w:tc>
      </w:tr>
      <w:tr>
        <w:tc>
          <w:tcPr>
            <w:tcW w:type="dxa" w:w="16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Classified</w:t>
            </w:r>
          </w:p>
        </w:tc>
        <w:tc>
          <w:tcPr>
            <w:tcW w:type="dxa" w:w="41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OnPremGateway only; may require air-gapped deployment</w:t>
            </w:r>
          </w:p>
        </w:tc>
        <w:tc>
          <w:tcPr>
            <w:tcW w:type="dxa" w:w="36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Reserved for customer-specific Classified deployments; not shipped in the Marketplace SKU.</w:t>
            </w:r>
          </w:p>
        </w:tc>
      </w:tr>
    </w:tbl>
    <w:p>
      <w:pPr>
        <w:spacing w:after="120"/>
      </w:pPr>
      <w:r>
        <w:t xml:space="preserve"/>
      </w:r>
    </w:p>
    <w:p>
      <w:pPr>
        <w:pStyle w:val="Heading2"/>
      </w:pPr>
      <w:r>
        <w:rPr>
          <w:rFonts w:ascii="Arial" w:cs="Arial" w:eastAsia="Arial" w:hAnsi="Arial"/>
        </w:rPr>
        <w:t xml:space="preserve">6.3 Retention and audit</w:t>
      </w:r>
    </w:p>
    <w:p>
      <w:pPr>
        <w:pStyle w:val="ListParagraph"/>
        <w:numPr>
          <w:ilvl w:val="0"/>
          <w:numId w:val="2"/>
        </w:numPr>
        <w:spacing w:after="80" w:line="280"/>
      </w:pPr>
      <w:r>
        <w:rPr>
          <w:rFonts w:ascii="Consolas" w:cs="Consolas" w:eastAsia="Consolas" w:hAnsi="Consolas"/>
          <w:color w:val="111827"/>
          <w:sz w:val="20"/>
          <w:szCs w:val="20"/>
        </w:rPr>
        <w:t xml:space="preserve">PromptTemplate</w:t>
      </w:r>
      <w:r>
        <w:rPr>
          <w:rFonts w:ascii="Arial" w:cs="Arial" w:eastAsia="Arial" w:hAnsi="Arial"/>
        </w:rPr>
        <w:t xml:space="preserve"> is retained indefinitely. Deprecation is a state, not a delete.</w:t>
      </w:r>
    </w:p>
    <w:p>
      <w:pPr>
        <w:pStyle w:val="ListParagraph"/>
        <w:numPr>
          <w:ilvl w:val="0"/>
          <w:numId w:val="2"/>
        </w:numPr>
        <w:spacing w:after="80" w:line="280"/>
      </w:pPr>
      <w:r>
        <w:rPr>
          <w:rFonts w:ascii="Consolas" w:cs="Consolas" w:eastAsia="Consolas" w:hAnsi="Consolas"/>
          <w:color w:val="111827"/>
          <w:sz w:val="20"/>
          <w:szCs w:val="20"/>
        </w:rPr>
        <w:t xml:space="preserve">ExtractionInvocation</w:t>
      </w:r>
      <w:r>
        <w:rPr>
          <w:rFonts w:ascii="Arial" w:cs="Arial" w:eastAsia="Arial" w:hAnsi="Arial"/>
        </w:rPr>
        <w:t xml:space="preserve"> is retained for at least seven years by default (A&amp;D program life + 2). Retention is configurable per-deployment; the framework rejects retention less than 1 year for ITAR/Classified tiers.</w:t>
      </w:r>
    </w:p>
    <w:p>
      <w:pPr>
        <w:pStyle w:val="ListParagraph"/>
        <w:numPr>
          <w:ilvl w:val="0"/>
          <w:numId w:val="2"/>
        </w:numPr>
        <w:spacing w:after="80" w:line="280"/>
      </w:pPr>
      <w:r>
        <w:rPr>
          <w:rFonts w:ascii="Consolas" w:cs="Consolas" w:eastAsia="Consolas" w:hAnsi="Consolas"/>
          <w:color w:val="111827"/>
          <w:sz w:val="20"/>
          <w:szCs w:val="20"/>
        </w:rPr>
        <w:t xml:space="preserve">Citation</w:t>
      </w:r>
      <w:r>
        <w:rPr>
          <w:rFonts w:ascii="Arial" w:cs="Arial" w:eastAsia="Arial" w:hAnsi="Arial"/>
        </w:rPr>
        <w:t xml:space="preserve"> is retained for the life of its parent ExtractionInvocation.</w:t>
      </w:r>
    </w:p>
    <w:p>
      <w:pPr>
        <w:pStyle w:val="ListParagraph"/>
        <w:numPr>
          <w:ilvl w:val="0"/>
          <w:numId w:val="2"/>
        </w:numPr>
        <w:spacing w:after="80" w:line="280"/>
      </w:pPr>
      <w:r>
        <w:rPr>
          <w:rFonts w:ascii="Arial" w:cs="Arial" w:eastAsia="Arial" w:hAnsi="Arial"/>
        </w:rPr>
        <w:t xml:space="preserve">Purged records are never edited in place — the framework writes a tombstone row with the purge date and the authorizing role.</w:t>
      </w:r>
    </w:p>
    <w:p>
      <w:pPr>
        <w:pStyle w:val="Heading1"/>
        <w:pageBreakBefore/>
      </w:pPr>
      <w:r>
        <w:rPr>
          <w:rFonts w:ascii="Arial" w:cs="Arial" w:eastAsia="Arial" w:hAnsi="Arial"/>
        </w:rPr>
        <w:t xml:space="preserve">7. Execution Microflow Pattern</w:t>
      </w:r>
    </w:p>
    <w:p>
      <w:pPr>
        <w:spacing w:after="120" w:line="300"/>
      </w:pPr>
      <w:r>
        <w:rPr>
          <w:rFonts w:ascii="Arial" w:cs="Arial" w:eastAsia="Arial" w:hAnsi="Arial"/>
        </w:rPr>
        <w:t xml:space="preserve">The runtime contract is a single Mendix microflow: </w:t>
      </w:r>
      <w:r>
        <w:rPr>
          <w:rFonts w:ascii="Consolas" w:cs="Consolas" w:eastAsia="Consolas" w:hAnsi="Consolas"/>
          <w:color w:val="111827"/>
          <w:sz w:val="20"/>
          <w:szCs w:val="20"/>
        </w:rPr>
        <w:t xml:space="preserve">IF_DocumentExtract_Invoke</w:t>
      </w:r>
      <w:r>
        <w:rPr>
          <w:rFonts w:ascii="Arial" w:cs="Arial" w:eastAsia="Arial" w:hAnsi="Arial"/>
        </w:rPr>
        <w:t xml:space="preserve">. Every Wave 1 application calls this microflow. The signature is:</w:t>
      </w:r>
    </w:p>
    <w:p>
      <w:pPr>
        <w:spacing w:after="120"/>
      </w:pPr>
      <w:r>
        <w:t xml:space="preserve"/>
      </w:r>
    </w:p>
    <w:p>
      <w:pPr>
        <w:shd w:fill="F3F4F6" w:val="clear"/>
        <w:spacing w:after="0" w:line="240"/>
        <w:ind w:left="200"/>
      </w:pPr>
      <w:r>
        <w:rPr>
          <w:rFonts w:ascii="Consolas" w:cs="Consolas" w:eastAsia="Consolas" w:hAnsi="Consolas"/>
          <w:sz w:val="18"/>
          <w:szCs w:val="18"/>
        </w:rPr>
        <w:t xml:space="preserve">IF_DocumentExtract_Invoke(</w:t>
      </w:r>
    </w:p>
    <w:p>
      <w:pPr>
        <w:shd w:fill="F3F4F6" w:val="clear"/>
        <w:spacing w:after="0" w:line="240"/>
        <w:ind w:left="200"/>
      </w:pPr>
      <w:r>
        <w:rPr>
          <w:rFonts w:ascii="Consolas" w:cs="Consolas" w:eastAsia="Consolas" w:hAnsi="Consolas"/>
          <w:sz w:val="18"/>
          <w:szCs w:val="18"/>
        </w:rPr>
        <w:t xml:space="preserve">    template_code           : String,           // e.g. 'SCM-02-RFQ-Extractor'</w:t>
      </w:r>
    </w:p>
    <w:p>
      <w:pPr>
        <w:shd w:fill="F3F4F6" w:val="clear"/>
        <w:spacing w:after="0" w:line="240"/>
        <w:ind w:left="200"/>
      </w:pPr>
      <w:r>
        <w:rPr>
          <w:rFonts w:ascii="Consolas" w:cs="Consolas" w:eastAsia="Consolas" w:hAnsi="Consolas"/>
          <w:sz w:val="18"/>
          <w:szCs w:val="18"/>
        </w:rPr>
        <w:t xml:space="preserve">    template_version_or_null: String,           // null = use latest Published</w:t>
      </w:r>
    </w:p>
    <w:p>
      <w:pPr>
        <w:shd w:fill="F3F4F6" w:val="clear"/>
        <w:spacing w:after="0" w:line="240"/>
        <w:ind w:left="200"/>
      </w:pPr>
      <w:r>
        <w:rPr>
          <w:rFonts w:ascii="Consolas" w:cs="Consolas" w:eastAsia="Consolas" w:hAnsi="Consolas"/>
          <w:sz w:val="18"/>
          <w:szCs w:val="18"/>
        </w:rPr>
        <w:t xml:space="preserve">    input_object            : AIInteractionFramework.DocumentExtractInput,</w:t>
      </w:r>
    </w:p>
    <w:p>
      <w:pPr>
        <w:shd w:fill="F3F4F6" w:val="clear"/>
        <w:spacing w:after="0" w:line="240"/>
        <w:ind w:left="200"/>
      </w:pPr>
      <w:r>
        <w:rPr>
          <w:rFonts w:ascii="Consolas" w:cs="Consolas" w:eastAsia="Consolas" w:hAnsi="Consolas"/>
          <w:sz w:val="18"/>
          <w:szCs w:val="18"/>
        </w:rPr>
        <w:t xml:space="preserve">    invoked_by              : String            // user or system principal</w:t>
      </w:r>
    </w:p>
    <w:p>
      <w:pPr>
        <w:shd w:fill="F3F4F6" w:val="clear"/>
        <w:spacing w:after="0" w:line="240"/>
        <w:ind w:left="200"/>
      </w:pPr>
      <w:r>
        <w:rPr>
          <w:rFonts w:ascii="Consolas" w:cs="Consolas" w:eastAsia="Consolas" w:hAnsi="Consolas"/>
          <w:sz w:val="18"/>
          <w:szCs w:val="18"/>
        </w:rPr>
        <w:t xml:space="preserve">) -&gt; ExtractionInvocation</w:t>
      </w:r>
    </w:p>
    <w:p>
      <w:pPr>
        <w:spacing w:after="120"/>
      </w:pPr>
      <w:r>
        <w:t xml:space="preserve"/>
      </w:r>
    </w:p>
    <w:p>
      <w:pPr>
        <w:pStyle w:val="Heading2"/>
      </w:pPr>
      <w:r>
        <w:rPr>
          <w:rFonts w:ascii="Arial" w:cs="Arial" w:eastAsia="Arial" w:hAnsi="Arial"/>
        </w:rPr>
        <w:t xml:space="preserve">7.1 Step-by-step</w:t>
      </w:r>
    </w:p>
    <w:p>
      <w:pPr>
        <w:pStyle w:val="ListParagraph"/>
        <w:numPr>
          <w:ilvl w:val="0"/>
          <w:numId w:val="3"/>
        </w:numPr>
        <w:spacing w:after="80" w:line="280"/>
      </w:pPr>
      <w:r>
        <w:rPr>
          <w:rFonts w:ascii="Arial" w:cs="Arial" w:eastAsia="Arial" w:hAnsi="Arial"/>
        </w:rPr>
        <w:t xml:space="preserve">Resolve template. Find PromptTemplate with matching Code and (if provided) Version, else the latest Published. Refuse if not Published and the caller is a production application.</w:t>
      </w:r>
    </w:p>
    <w:p>
      <w:pPr>
        <w:pStyle w:val="ListParagraph"/>
        <w:numPr>
          <w:ilvl w:val="0"/>
          <w:numId w:val="3"/>
        </w:numPr>
        <w:spacing w:after="80" w:line="280"/>
      </w:pPr>
      <w:r>
        <w:rPr>
          <w:rFonts w:ascii="Arial" w:cs="Arial" w:eastAsia="Arial" w:hAnsi="Arial"/>
        </w:rPr>
        <w:t xml:space="preserve">Validate inputs. For each declared PromptVariable, check Required, DataType, ValidationPattern, MaxLength. Truncate DocumentText inputs that exceed MaxLength and record the truncation.</w:t>
      </w:r>
    </w:p>
    <w:p>
      <w:pPr>
        <w:pStyle w:val="ListParagraph"/>
        <w:numPr>
          <w:ilvl w:val="0"/>
          <w:numId w:val="3"/>
        </w:numPr>
        <w:spacing w:after="80" w:line="280"/>
      </w:pPr>
      <w:r>
        <w:rPr>
          <w:rFonts w:ascii="Arial" w:cs="Arial" w:eastAsia="Arial" w:hAnsi="Arial"/>
        </w:rPr>
        <w:t xml:space="preserve">Apply data-classification routing. Read DataSensitivityTier. Resolve PreferredBackend; if not in the tier’s allowlist, downgrade to the first allowed backend. If no allowed backend is reachable, mark status Error and return.</w:t>
      </w:r>
    </w:p>
    <w:p>
      <w:pPr>
        <w:pStyle w:val="ListParagraph"/>
        <w:numPr>
          <w:ilvl w:val="0"/>
          <w:numId w:val="3"/>
        </w:numPr>
        <w:spacing w:after="80" w:line="280"/>
      </w:pPr>
      <w:r>
        <w:rPr>
          <w:rFonts w:ascii="Arial" w:cs="Arial" w:eastAsia="Arial" w:hAnsi="Arial"/>
        </w:rPr>
        <w:t xml:space="preserve">Apply input guardrails. Run any InputRedaction, PromptInjectionDefense, or InputFiltering guardrails on the rendered user prompt.</w:t>
      </w:r>
    </w:p>
    <w:p>
      <w:pPr>
        <w:pStyle w:val="ListParagraph"/>
        <w:numPr>
          <w:ilvl w:val="0"/>
          <w:numId w:val="3"/>
        </w:numPr>
        <w:spacing w:after="80" w:line="280"/>
      </w:pPr>
      <w:r>
        <w:rPr>
          <w:rFonts w:ascii="Arial" w:cs="Arial" w:eastAsia="Arial" w:hAnsi="Arial"/>
        </w:rPr>
        <w:t xml:space="preserve">Render prompts. Materialize UserPromptTemplate with variable substitution. Inline any FewShotExamples in deterministic order.</w:t>
      </w:r>
    </w:p>
    <w:p>
      <w:pPr>
        <w:pStyle w:val="ListParagraph"/>
        <w:numPr>
          <w:ilvl w:val="0"/>
          <w:numId w:val="3"/>
        </w:numPr>
        <w:spacing w:after="80" w:line="280"/>
      </w:pPr>
      <w:r>
        <w:rPr>
          <w:rFonts w:ascii="Arial" w:cs="Arial" w:eastAsia="Arial" w:hAnsi="Arial"/>
        </w:rPr>
        <w:t xml:space="preserve">Invoke the backend. Send SystemPrompt + RenderedUserPrompt + MaxOutputTokens + Temperature. Record latency and token counts.</w:t>
      </w:r>
    </w:p>
    <w:p>
      <w:pPr>
        <w:pStyle w:val="ListParagraph"/>
        <w:numPr>
          <w:ilvl w:val="0"/>
          <w:numId w:val="3"/>
        </w:numPr>
        <w:spacing w:after="80" w:line="280"/>
      </w:pPr>
      <w:r>
        <w:rPr>
          <w:rFonts w:ascii="Arial" w:cs="Arial" w:eastAsia="Arial" w:hAnsi="Arial"/>
        </w:rPr>
        <w:t xml:space="preserve">Parse completion. Strip any leading/trailing prose (defensive, should be absent). Parse as JSON; reject non-JSON.</w:t>
      </w:r>
    </w:p>
    <w:p>
      <w:pPr>
        <w:pStyle w:val="ListParagraph"/>
        <w:numPr>
          <w:ilvl w:val="0"/>
          <w:numId w:val="3"/>
        </w:numPr>
        <w:spacing w:after="80" w:line="280"/>
      </w:pPr>
      <w:r>
        <w:rPr>
          <w:rFonts w:ascii="Arial" w:cs="Arial" w:eastAsia="Arial" w:hAnsi="Arial"/>
        </w:rPr>
        <w:t xml:space="preserve">Validate schema. Run OutputSchemaJson against the completion. On failure, retry once with the validation error appended as a corrective message.</w:t>
      </w:r>
    </w:p>
    <w:p>
      <w:pPr>
        <w:pStyle w:val="ListParagraph"/>
        <w:numPr>
          <w:ilvl w:val="0"/>
          <w:numId w:val="3"/>
        </w:numPr>
        <w:spacing w:after="80" w:line="280"/>
      </w:pPr>
      <w:r>
        <w:rPr>
          <w:rFonts w:ascii="Arial" w:cs="Arial" w:eastAsia="Arial" w:hAnsi="Arial"/>
        </w:rPr>
        <w:t xml:space="preserve">Apply output guardrails. Run OutputRedaction, RequireCitation, RefuseIfUngrounded, Verbatim preservation, and ConfidenceThreshold guardrails in that order.</w:t>
      </w:r>
    </w:p>
    <w:p>
      <w:pPr>
        <w:pStyle w:val="ListParagraph"/>
        <w:numPr>
          <w:ilvl w:val="0"/>
          <w:numId w:val="3"/>
        </w:numPr>
        <w:spacing w:after="80" w:line="280"/>
      </w:pPr>
      <w:r>
        <w:rPr>
          <w:rFonts w:ascii="Arial" w:cs="Arial" w:eastAsia="Arial" w:hAnsi="Arial"/>
        </w:rPr>
        <w:t xml:space="preserve">Persist. Write the ExtractionInvocation row, including RenderedSystemPrompt, RenderedUserPrompt, OutputPayloadJson, Citation children, and status.</w:t>
      </w:r>
    </w:p>
    <w:p>
      <w:pPr>
        <w:pStyle w:val="ListParagraph"/>
        <w:numPr>
          <w:ilvl w:val="0"/>
          <w:numId w:val="3"/>
        </w:numPr>
        <w:spacing w:after="80" w:line="280"/>
      </w:pPr>
      <w:r>
        <w:rPr>
          <w:rFonts w:ascii="Arial" w:cs="Arial" w:eastAsia="Arial" w:hAnsi="Arial"/>
        </w:rPr>
        <w:t xml:space="preserve">Route low-confidence outputs. If status = LowConfidence, enqueue a reviewer task and set the completion’s downstream-consumer-visible flag to "Pending review".</w:t>
      </w:r>
    </w:p>
    <w:p>
      <w:pPr>
        <w:pStyle w:val="Heading2"/>
      </w:pPr>
      <w:r>
        <w:rPr>
          <w:rFonts w:ascii="Arial" w:cs="Arial" w:eastAsia="Arial" w:hAnsi="Arial"/>
        </w:rPr>
        <w:t xml:space="preserve">7.2 Failure modes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460"/>
      </w:tblGrid>
      <w:tr>
        <w:trPr>
          <w:tblHeader/>
        </w:trPr>
        <w:tc>
          <w:tcPr>
            <w:tcW w:type="dxa" w:w="19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c>
          <w:tcPr>
            <w:tcW w:type="dxa" w:w="40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Cause</w:t>
            </w:r>
          </w:p>
        </w:tc>
        <w:tc>
          <w:tcPr>
            <w:tcW w:type="dxa" w:w="34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Runtime action</w:t>
            </w:r>
          </w:p>
        </w:tc>
      </w:tr>
      <w:tr>
        <w:tc>
          <w:tcPr>
            <w:tcW w:type="dxa" w:w="19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Success</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Completion valid, schema-valid, confidence &gt;= floor, all guardrails passed.</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Return to caller.</w:t>
            </w:r>
          </w:p>
        </w:tc>
      </w:tr>
      <w:tr>
        <w:tc>
          <w:tcPr>
            <w:tcW w:type="dxa" w:w="19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SchemaInvalid</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Completion did not validate against OutputSchemaJson after one retry.</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 error; enqueue reviewer task; return to caller with null payload and status.</w:t>
            </w:r>
          </w:p>
        </w:tc>
      </w:tr>
      <w:tr>
        <w:tc>
          <w:tcPr>
            <w:tcW w:type="dxa" w:w="19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LowConfidence</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overall_confidence below MinConfidenceThreshold.</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 success payload but gate downstream consumer on reviewer approval.</w:t>
            </w:r>
          </w:p>
        </w:tc>
      </w:tr>
      <w:tr>
        <w:tc>
          <w:tcPr>
            <w:tcW w:type="dxa" w:w="19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Refused</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Completion’s refusal_reason is non-null (prompt injection detected, out-of-scope document, etc.).</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 refusal; surface to caller as an explicit refusal with the reason string.</w:t>
            </w:r>
          </w:p>
        </w:tc>
      </w:tr>
      <w:tr>
        <w:tc>
          <w:tcPr>
            <w:tcW w:type="dxa" w:w="19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Error</w:t>
            </w:r>
          </w:p>
        </w:tc>
        <w:tc>
          <w:tcPr>
            <w:tcW w:type="dxa" w:w="4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Backend unreachable; no allowed backend for tier; input validation failed; content policy block.</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 error; return to caller with ErrorMessage.</w:t>
            </w:r>
          </w:p>
        </w:tc>
      </w:tr>
    </w:tbl>
    <w:p>
      <w:pPr>
        <w:pStyle w:val="Heading1"/>
        <w:pageBreakBefore/>
      </w:pPr>
      <w:r>
        <w:rPr>
          <w:rFonts w:ascii="Arial" w:cs="Arial" w:eastAsia="Arial" w:hAnsi="Arial"/>
        </w:rPr>
        <w:t xml:space="preserve">8. Evaluation Strategy</w:t>
      </w:r>
    </w:p>
    <w:p>
      <w:pPr>
        <w:spacing w:after="120" w:line="300"/>
      </w:pPr>
      <w:r>
        <w:rPr>
          <w:rFonts w:ascii="Arial" w:cs="Arial" w:eastAsia="Arial" w:hAnsi="Arial"/>
        </w:rPr>
        <w:t xml:space="preserve">Templates are not released without evaluation. The framework ships a lightweight harness that replays a held-out corpus against a candidate template version and reports quality metrics. The harness is invoked from the InReview → Published transition and blocks the transition on any failed gate.</w:t>
      </w:r>
    </w:p>
    <w:p>
      <w:pPr>
        <w:pStyle w:val="Heading2"/>
      </w:pPr>
      <w:r>
        <w:rPr>
          <w:rFonts w:ascii="Arial" w:cs="Arial" w:eastAsia="Arial" w:hAnsi="Arial"/>
        </w:rPr>
        <w:t xml:space="preserve">8.1 Quality gates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Metric</w:t>
            </w:r>
          </w:p>
        </w:tc>
        <w:tc>
          <w:tcPr>
            <w:tcW w:type="dxa" w:w="18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Gate</w:t>
            </w:r>
          </w:p>
        </w:tc>
        <w:tc>
          <w:tcPr>
            <w:tcW w:type="dxa" w:w="45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Measurement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JSON schema validity rate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99%</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Fraction of corpus completions that validate against OutputSchemaJson on the first attempt.</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Citation completeness</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100%</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Every extracted object has a non-null citation with a non-null page.</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Verbatim-match rate</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99%</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verbatim_source_text / extracted_text / quote is a substring of the source payload after whitespace normalization.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Precision</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90%</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Human-graded on a random sample of N &gt;= 30 invocations per corpus document class.</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Recall</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85%</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Human-graded on a random sample; ENG-01 shall-statement recall is measured separately against a manually-annotated ground-truth extraction.</w:t>
            </w:r>
          </w:p>
        </w:tc>
      </w:tr>
      <w:tr>
        <w:tc>
          <w:tcPr>
            <w:tcW w:type="dxa" w:w="3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Refusal correctness</w:t>
            </w:r>
          </w:p>
        </w:tc>
        <w:tc>
          <w:tcPr>
            <w:tcW w:type="dxa" w:w="18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&gt;= 95%</w:t>
            </w:r>
          </w:p>
        </w:tc>
        <w:tc>
          <w:tcPr>
            <w:tcW w:type="dxa" w:w="45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Refusals are produced iff the document contains a prompt-injection override directive, per a labeled set of adversarial samples.</w:t>
            </w:r>
          </w:p>
        </w:tc>
      </w:tr>
    </w:tbl>
    <w:p>
      <w:pPr>
        <w:spacing w:after="120"/>
      </w:pPr>
      <w:r>
        <w:t xml:space="preserve"/>
      </w:r>
    </w:p>
    <w:p>
      <w:pPr>
        <w:pStyle w:val="Heading2"/>
      </w:pPr>
      <w:r>
        <w:rPr>
          <w:rFonts w:ascii="Arial" w:cs="Arial" w:eastAsia="Arial" w:hAnsi="Arial"/>
        </w:rPr>
        <w:t xml:space="preserve">8.2 Corpus composition</w:t>
      </w:r>
    </w:p>
    <w:p>
      <w:pPr>
        <w:spacing w:after="120" w:line="300"/>
      </w:pPr>
      <w:r>
        <w:rPr>
          <w:rFonts w:ascii="Arial" w:cs="Arial" w:eastAsia="Arial" w:hAnsi="Arial"/>
        </w:rPr>
        <w:t xml:space="preserve">Each template maintains a private evaluation corpus that is versioned and reviewed alongside the template. Corpus documents are never shipped in the Marketplace module; they remain in the vendor’s private evaluation environment. A corpus covers:</w:t>
      </w:r>
    </w:p>
    <w:p>
      <w:pPr>
        <w:pStyle w:val="ListParagraph"/>
        <w:numPr>
          <w:ilvl w:val="0"/>
          <w:numId w:val="2"/>
        </w:numPr>
        <w:spacing w:after="80" w:line="280"/>
      </w:pPr>
      <w:r>
        <w:rPr>
          <w:rFonts w:ascii="Arial" w:cs="Arial" w:eastAsia="Arial" w:hAnsi="Arial"/>
        </w:rPr>
        <w:t xml:space="preserve">Happy-path documents that represent the median case.</w:t>
      </w:r>
    </w:p>
    <w:p>
      <w:pPr>
        <w:pStyle w:val="ListParagraph"/>
        <w:numPr>
          <w:ilvl w:val="0"/>
          <w:numId w:val="2"/>
        </w:numPr>
        <w:spacing w:after="80" w:line="280"/>
      </w:pPr>
      <w:r>
        <w:rPr>
          <w:rFonts w:ascii="Arial" w:cs="Arial" w:eastAsia="Arial" w:hAnsi="Arial"/>
        </w:rPr>
        <w:t xml:space="preserve">Edge-case documents: short, long, malformed, multilingual, scanned-then-OCR’d, with embedded tables and figures.</w:t>
      </w:r>
    </w:p>
    <w:p>
      <w:pPr>
        <w:pStyle w:val="ListParagraph"/>
        <w:numPr>
          <w:ilvl w:val="0"/>
          <w:numId w:val="2"/>
        </w:numPr>
        <w:spacing w:after="80" w:line="280"/>
      </w:pPr>
      <w:r>
        <w:rPr>
          <w:rFonts w:ascii="Arial" w:cs="Arial" w:eastAsia="Arial" w:hAnsi="Arial"/>
        </w:rPr>
        <w:t xml:space="preserve">Adversarial documents: embedded prompt-injection directives, fake section numbers, citations to non-existent clauses.</w:t>
      </w:r>
    </w:p>
    <w:p>
      <w:pPr>
        <w:pStyle w:val="ListParagraph"/>
        <w:numPr>
          <w:ilvl w:val="0"/>
          <w:numId w:val="2"/>
        </w:numPr>
        <w:spacing w:after="80" w:line="280"/>
      </w:pPr>
      <w:r>
        <w:rPr>
          <w:rFonts w:ascii="Arial" w:cs="Arial" w:eastAsia="Arial" w:hAnsi="Arial"/>
        </w:rPr>
        <w:t xml:space="preserve">Regression documents: real customer examples where the template previously produced a known bad output.</w:t>
      </w:r>
    </w:p>
    <w:p>
      <w:pPr>
        <w:pStyle w:val="Heading2"/>
      </w:pPr>
      <w:r>
        <w:rPr>
          <w:rFonts w:ascii="Arial" w:cs="Arial" w:eastAsia="Arial" w:hAnsi="Arial"/>
        </w:rPr>
        <w:t xml:space="preserve">8.3 Drift monitoring</w:t>
      </w:r>
    </w:p>
    <w:p>
      <w:pPr>
        <w:spacing w:after="120" w:line="300"/>
      </w:pPr>
      <w:r>
        <w:rPr>
          <w:rFonts w:ascii="Arial" w:cs="Arial" w:eastAsia="Arial" w:hAnsi="Arial"/>
        </w:rPr>
        <w:t xml:space="preserve">The framework samples a small fraction of production invocations (configurable, default 2%) and re-runs them against a shadow of the template’s evaluation harness. A sustained degradation triggers a Deprecation recommendation for the current template version.</w:t>
      </w:r>
    </w:p>
    <w:p>
      <w:pPr>
        <w:pStyle w:val="Heading1"/>
        <w:pageBreakBefore/>
      </w:pPr>
      <w:r>
        <w:rPr>
          <w:rFonts w:ascii="Arial" w:cs="Arial" w:eastAsia="Arial" w:hAnsi="Arial"/>
        </w:rPr>
        <w:t xml:space="preserve">9. Template Reference</w:t>
      </w:r>
    </w:p>
    <w:p>
      <w:pPr>
        <w:spacing w:after="120" w:line="300"/>
      </w:pPr>
      <w:r>
        <w:rPr>
          <w:rFonts w:ascii="Arial" w:cs="Arial" w:eastAsia="Arial" w:hAnsi="Arial"/>
        </w:rPr>
        <w:t xml:space="preserve">This section documents each Wave 1 template. For each template: intended consumer, key invariants, output schema highlights, and the most important guardrails.</w:t>
      </w:r>
    </w:p>
    <w:p>
      <w:pPr>
        <w:pStyle w:val="Heading2"/>
      </w:pPr>
      <w:r>
        <w:rPr>
          <w:rFonts w:ascii="Arial" w:cs="Arial" w:eastAsia="Arial" w:hAnsi="Arial"/>
        </w:rPr>
        <w:t xml:space="preserve">9.1 SCM-02-RFQ-Extractor</w:t>
      </w:r>
    </w:p>
    <w:p>
      <w:pPr>
        <w:spacing w:after="120" w:line="300"/>
      </w:pPr>
      <w:r>
        <w:rPr>
          <w:rFonts w:ascii="Arial" w:cs="Arial" w:eastAsia="Arial" w:hAnsi="Arial"/>
        </w:rPr>
        <w:t xml:space="preserve">Consumer: </w:t>
      </w:r>
      <w:r>
        <w:rPr>
          <w:rFonts w:ascii="Arial" w:cs="Arial" w:eastAsia="Arial" w:hAnsi="Arial"/>
          <w:b/>
          <w:bCs/>
        </w:rPr>
        <w:t xml:space="preserve">SCM-02 RFQ Intake &amp; Clause Triager</w:t>
      </w:r>
      <w:r>
        <w:rPr>
          <w:rFonts w:ascii="Arial" w:cs="Arial" w:eastAsia="Arial" w:hAnsi="Arial"/>
        </w:rPr>
        <w:t xml:space="preserve">. Captures the structured facts a capture / contracts team needs to triage an RFQ / RFP / SOW.</w:t>
      </w:r>
    </w:p>
    <w:p>
      <w:pPr>
        <w:pStyle w:val="Heading3"/>
      </w:pPr>
      <w:r>
        <w:rPr>
          <w:rFonts w:ascii="Arial" w:cs="Arial" w:eastAsia="Arial" w:hAnsi="Arial"/>
        </w:rPr>
        <w:t xml:space="preserve">Key invariants</w:t>
      </w:r>
    </w:p>
    <w:p>
      <w:pPr>
        <w:pStyle w:val="ListParagraph"/>
        <w:numPr>
          <w:ilvl w:val="0"/>
          <w:numId w:val="2"/>
        </w:numPr>
        <w:spacing w:after="80" w:line="280"/>
      </w:pPr>
      <w:r>
        <w:rPr>
          <w:rFonts w:ascii="Arial" w:cs="Arial" w:eastAsia="Arial" w:hAnsi="Arial"/>
        </w:rPr>
        <w:t xml:space="preserve">Every clause in the output has a verbatim excerpt and an incorporation mode: ByReference (the doc cites FAR 52.xxx without quoting it) or FullText (the clause is reproduced inline).</w:t>
      </w:r>
    </w:p>
    <w:p>
      <w:pPr>
        <w:pStyle w:val="ListParagraph"/>
        <w:numPr>
          <w:ilvl w:val="0"/>
          <w:numId w:val="2"/>
        </w:numPr>
        <w:spacing w:after="80" w:line="280"/>
      </w:pPr>
      <w:r>
        <w:rPr>
          <w:rFonts w:ascii="Arial" w:cs="Arial" w:eastAsia="Arial" w:hAnsi="Arial"/>
        </w:rPr>
        <w:t xml:space="preserve">Clauses are tagged with a risk_level (Low/Medium/High/Unknown) and a routing hint (Legal, Cybersecurity, Contracts, Program, or None).</w:t>
      </w:r>
    </w:p>
    <w:p>
      <w:pPr>
        <w:pStyle w:val="ListParagraph"/>
        <w:numPr>
          <w:ilvl w:val="0"/>
          <w:numId w:val="2"/>
        </w:numPr>
        <w:spacing w:after="80" w:line="280"/>
      </w:pPr>
      <w:r>
        <w:rPr>
          <w:rFonts w:ascii="Arial" w:cs="Arial" w:eastAsia="Arial" w:hAnsi="Arial"/>
        </w:rPr>
        <w:t xml:space="preserve">Cybersecurity requirements are captured as a boolean-flagged object: DFARS -7012 / -7019 / -7020 / -7021, NIST 800-171, and CMMC level 1–3.</w:t>
      </w:r>
    </w:p>
    <w:p>
      <w:pPr>
        <w:pStyle w:val="ListParagraph"/>
        <w:numPr>
          <w:ilvl w:val="0"/>
          <w:numId w:val="2"/>
        </w:numPr>
        <w:spacing w:after="80" w:line="280"/>
      </w:pPr>
      <w:r>
        <w:rPr>
          <w:rFonts w:ascii="Arial" w:cs="Arial" w:eastAsia="Arial" w:hAnsi="Arial"/>
        </w:rPr>
        <w:t xml:space="preserve">Export-control markings (ITAR, EAR, NOFORN, distribution statements) are always extracted — never inferred — and cited.</w:t>
      </w:r>
    </w:p>
    <w:p>
      <w:pPr>
        <w:pStyle w:val="Heading3"/>
      </w:pPr>
      <w:r>
        <w:rPr>
          <w:rFonts w:ascii="Arial" w:cs="Arial" w:eastAsia="Arial" w:hAnsi="Arial"/>
        </w:rPr>
        <w:t xml:space="preserve">Output schema highlights</w:t>
      </w:r>
    </w:p>
    <w:p>
      <w:pPr>
        <w:pStyle w:val="ListParagraph"/>
        <w:numPr>
          <w:ilvl w:val="0"/>
          <w:numId w:val="2"/>
        </w:numPr>
        <w:spacing w:after="80" w:line="280"/>
      </w:pPr>
      <w:r>
        <w:rPr>
          <w:rFonts w:ascii="Consolas" w:cs="Consolas" w:eastAsia="Consolas" w:hAnsi="Consolas"/>
          <w:color w:val="111827"/>
          <w:sz w:val="20"/>
          <w:szCs w:val="20"/>
        </w:rPr>
        <w:t xml:space="preserve">program</w:t>
      </w:r>
      <w:r>
        <w:rPr>
          <w:rFonts w:ascii="Arial" w:cs="Arial" w:eastAsia="Arial" w:hAnsi="Arial"/>
        </w:rPr>
        <w:t xml:space="preserve"> (name, customer, program_number, customer_poc)</w:t>
      </w:r>
    </w:p>
    <w:p>
      <w:pPr>
        <w:pStyle w:val="ListParagraph"/>
        <w:numPr>
          <w:ilvl w:val="0"/>
          <w:numId w:val="2"/>
        </w:numPr>
        <w:spacing w:after="80" w:line="280"/>
      </w:pPr>
      <w:r>
        <w:rPr>
          <w:rFonts w:ascii="Consolas" w:cs="Consolas" w:eastAsia="Consolas" w:hAnsi="Consolas"/>
          <w:color w:val="111827"/>
          <w:sz w:val="20"/>
          <w:szCs w:val="20"/>
        </w:rPr>
        <w:t xml:space="preserve">document_metadata</w:t>
      </w:r>
      <w:r>
        <w:rPr>
          <w:rFonts w:ascii="Arial" w:cs="Arial" w:eastAsia="Arial" w:hAnsi="Arial"/>
        </w:rPr>
        <w:t xml:space="preserve"> (solicitation_number, document_kind, revision, issue_date, response_due)</w:t>
      </w:r>
    </w:p>
    <w:p>
      <w:pPr>
        <w:pStyle w:val="ListParagraph"/>
        <w:numPr>
          <w:ilvl w:val="0"/>
          <w:numId w:val="2"/>
        </w:numPr>
        <w:spacing w:after="80" w:line="280"/>
      </w:pPr>
      <w:r>
        <w:rPr>
          <w:rFonts w:ascii="Consolas" w:cs="Consolas" w:eastAsia="Consolas" w:hAnsi="Consolas"/>
          <w:color w:val="111827"/>
          <w:sz w:val="20"/>
          <w:szCs w:val="20"/>
        </w:rPr>
        <w:t xml:space="preserve">deliverables</w:t>
      </w:r>
      <w:r>
        <w:rPr>
          <w:rFonts w:ascii="Arial" w:cs="Arial" w:eastAsia="Arial" w:hAnsi="Arial"/>
        </w:rPr>
        <w:t xml:space="preserve">, </w:t>
      </w:r>
      <w:r>
        <w:rPr>
          <w:rFonts w:ascii="Consolas" w:cs="Consolas" w:eastAsia="Consolas" w:hAnsi="Consolas"/>
          <w:color w:val="111827"/>
          <w:sz w:val="20"/>
          <w:szCs w:val="20"/>
        </w:rPr>
        <w:t xml:space="preserve">parts</w:t>
      </w:r>
      <w:r>
        <w:rPr>
          <w:rFonts w:ascii="Arial" w:cs="Arial" w:eastAsia="Arial" w:hAnsi="Arial"/>
        </w:rPr>
        <w:t xml:space="preserve">, </w:t>
      </w:r>
      <w:r>
        <w:rPr>
          <w:rFonts w:ascii="Consolas" w:cs="Consolas" w:eastAsia="Consolas" w:hAnsi="Consolas"/>
          <w:color w:val="111827"/>
          <w:sz w:val="20"/>
          <w:szCs w:val="20"/>
        </w:rPr>
        <w:t xml:space="preserve">milestones</w:t>
      </w:r>
      <w:r>
        <w:rPr>
          <w:rFonts w:ascii="Arial" w:cs="Arial" w:eastAsia="Arial" w:hAnsi="Arial"/>
        </w:rPr>
        <w:t xml:space="preserve"> (each with citation)</w:t>
      </w:r>
    </w:p>
    <w:p>
      <w:pPr>
        <w:pStyle w:val="ListParagraph"/>
        <w:numPr>
          <w:ilvl w:val="0"/>
          <w:numId w:val="2"/>
        </w:numPr>
        <w:spacing w:after="80" w:line="280"/>
      </w:pPr>
      <w:r>
        <w:rPr>
          <w:rFonts w:ascii="Consolas" w:cs="Consolas" w:eastAsia="Consolas" w:hAnsi="Consolas"/>
          <w:color w:val="111827"/>
          <w:sz w:val="20"/>
          <w:szCs w:val="20"/>
        </w:rPr>
        <w:t xml:space="preserve">clauses</w:t>
      </w:r>
      <w:r>
        <w:rPr>
          <w:rFonts w:ascii="Arial" w:cs="Arial" w:eastAsia="Arial" w:hAnsi="Arial"/>
        </w:rPr>
        <w:t xml:space="preserve"> (number, title, verbatim, incorporation, risk_level, routing)</w:t>
      </w:r>
    </w:p>
    <w:p>
      <w:pPr>
        <w:pStyle w:val="ListParagraph"/>
        <w:numPr>
          <w:ilvl w:val="0"/>
          <w:numId w:val="2"/>
        </w:numPr>
        <w:spacing w:after="80" w:line="280"/>
      </w:pPr>
      <w:r>
        <w:rPr>
          <w:rFonts w:ascii="Consolas" w:cs="Consolas" w:eastAsia="Consolas" w:hAnsi="Consolas"/>
          <w:color w:val="111827"/>
          <w:sz w:val="20"/>
          <w:szCs w:val="20"/>
        </w:rPr>
        <w:t xml:space="preserve">data_rights</w:t>
      </w:r>
      <w:r>
        <w:rPr>
          <w:rFonts w:ascii="Arial" w:cs="Arial" w:eastAsia="Arial" w:hAnsi="Arial"/>
        </w:rPr>
        <w:t xml:space="preserve">, </w:t>
      </w:r>
      <w:r>
        <w:rPr>
          <w:rFonts w:ascii="Consolas" w:cs="Consolas" w:eastAsia="Consolas" w:hAnsi="Consolas"/>
          <w:color w:val="111827"/>
          <w:sz w:val="20"/>
          <w:szCs w:val="20"/>
        </w:rPr>
        <w:t xml:space="preserve">cybersecurity_requirements</w:t>
      </w:r>
      <w:r>
        <w:rPr>
          <w:rFonts w:ascii="Arial" w:cs="Arial" w:eastAsia="Arial" w:hAnsi="Arial"/>
        </w:rPr>
        <w:t xml:space="preserve">, </w:t>
      </w:r>
      <w:r>
        <w:rPr>
          <w:rFonts w:ascii="Consolas" w:cs="Consolas" w:eastAsia="Consolas" w:hAnsi="Consolas"/>
          <w:color w:val="111827"/>
          <w:sz w:val="20"/>
          <w:szCs w:val="20"/>
        </w:rPr>
        <w:t xml:space="preserve">export_control_markings</w:t>
      </w:r>
      <w:r>
        <w:rPr>
          <w:rFonts w:ascii="Arial" w:cs="Arial" w:eastAsia="Arial" w:hAnsi="Arial"/>
        </w:rPr>
        <w:t xml:space="preserve">, </w:t>
      </w:r>
      <w:r>
        <w:rPr>
          <w:rFonts w:ascii="Consolas" w:cs="Consolas" w:eastAsia="Consolas" w:hAnsi="Consolas"/>
          <w:color w:val="111827"/>
          <w:sz w:val="20"/>
          <w:szCs w:val="20"/>
        </w:rPr>
        <w:t xml:space="preserve">small_business_requirements</w:t>
      </w:r>
      <w:r>
        <w:rPr>
          <w:rFonts w:ascii="Arial" w:cs="Arial" w:eastAsia="Arial" w:hAnsi="Arial"/>
        </w:rPr>
        <w:t xml:space="preserve">, </w:t>
      </w:r>
      <w:r>
        <w:rPr>
          <w:rFonts w:ascii="Consolas" w:cs="Consolas" w:eastAsia="Consolas" w:hAnsi="Consolas"/>
          <w:color w:val="111827"/>
          <w:sz w:val="20"/>
          <w:szCs w:val="20"/>
        </w:rPr>
        <w:t xml:space="preserve">evaluation_criteria</w:t>
      </w:r>
    </w:p>
    <w:p>
      <w:pPr>
        <w:pStyle w:val="Heading3"/>
      </w:pPr>
      <w:r>
        <w:rPr>
          <w:rFonts w:ascii="Arial" w:cs="Arial" w:eastAsia="Arial" w:hAnsi="Arial"/>
        </w:rPr>
        <w:t xml:space="preserve">Notable guardrails</w:t>
      </w:r>
    </w:p>
    <w:p>
      <w:pPr>
        <w:pStyle w:val="ListParagraph"/>
        <w:numPr>
          <w:ilvl w:val="0"/>
          <w:numId w:val="2"/>
        </w:numPr>
        <w:spacing w:after="80" w:line="280"/>
      </w:pPr>
      <w:r>
        <w:rPr>
          <w:rFonts w:ascii="Arial" w:cs="Arial" w:eastAsia="Arial" w:hAnsi="Arial"/>
        </w:rPr>
        <w:t xml:space="preserve">MinConfidenceThreshold 0.75 — contracts review is manual anyway.</w:t>
      </w:r>
    </w:p>
    <w:p>
      <w:pPr>
        <w:pStyle w:val="ListParagraph"/>
        <w:numPr>
          <w:ilvl w:val="0"/>
          <w:numId w:val="2"/>
        </w:numPr>
        <w:spacing w:after="80" w:line="280"/>
      </w:pPr>
      <w:r>
        <w:rPr>
          <w:rFonts w:ascii="Arial" w:cs="Arial" w:eastAsia="Arial" w:hAnsi="Arial"/>
        </w:rPr>
        <w:t xml:space="preserve">DataClassificationRoute tier ITAR, allowed backends Bedrock_Claude and OnPremGateway.</w:t>
      </w:r>
    </w:p>
    <w:p>
      <w:pPr>
        <w:pStyle w:val="ListParagraph"/>
        <w:numPr>
          <w:ilvl w:val="0"/>
          <w:numId w:val="2"/>
        </w:numPr>
        <w:spacing w:after="80" w:line="280"/>
      </w:pPr>
      <w:r>
        <w:rPr>
          <w:rFonts w:ascii="Arial" w:cs="Arial" w:eastAsia="Arial" w:hAnsi="Arial"/>
        </w:rPr>
        <w:t xml:space="preserve">PromptInjectionDefense enabled with reject-on-override.</w:t>
      </w:r>
    </w:p>
    <w:p>
      <w:pPr>
        <w:pStyle w:val="Heading2"/>
      </w:pPr>
      <w:r>
        <w:rPr>
          <w:rFonts w:ascii="Arial" w:cs="Arial" w:eastAsia="Arial" w:hAnsi="Arial"/>
        </w:rPr>
        <w:t xml:space="preserve">9.2 ENG-01-Requirements-Extractor</w:t>
      </w:r>
    </w:p>
    <w:p>
      <w:pPr>
        <w:spacing w:after="120" w:line="300"/>
      </w:pPr>
      <w:r>
        <w:rPr>
          <w:rFonts w:ascii="Arial" w:cs="Arial" w:eastAsia="Arial" w:hAnsi="Arial"/>
        </w:rPr>
        <w:t xml:space="preserve">Consumer: </w:t>
      </w:r>
      <w:r>
        <w:rPr>
          <w:rFonts w:ascii="Arial" w:cs="Arial" w:eastAsia="Arial" w:hAnsi="Arial"/>
          <w:b/>
          <w:bCs/>
        </w:rPr>
        <w:t xml:space="preserve">ENG-01 Requirements Extraction &amp; Traceability</w:t>
      </w:r>
      <w:r>
        <w:rPr>
          <w:rFonts w:ascii="Arial" w:cs="Arial" w:eastAsia="Arial" w:hAnsi="Arial"/>
        </w:rPr>
        <w:t xml:space="preserve">. Extracts customer specification shall-statements into atomic, classified, verification-tagged requirement records.</w:t>
      </w:r>
    </w:p>
    <w:p>
      <w:pPr>
        <w:pStyle w:val="Heading3"/>
      </w:pPr>
      <w:r>
        <w:rPr>
          <w:rFonts w:ascii="Arial" w:cs="Arial" w:eastAsia="Arial" w:hAnsi="Arial"/>
        </w:rPr>
        <w:t xml:space="preserve">Key invariants</w:t>
      </w:r>
    </w:p>
    <w:p>
      <w:pPr>
        <w:pStyle w:val="ListParagraph"/>
        <w:numPr>
          <w:ilvl w:val="0"/>
          <w:numId w:val="2"/>
        </w:numPr>
        <w:spacing w:after="80" w:line="280"/>
      </w:pPr>
      <w:r>
        <w:rPr>
          <w:rFonts w:ascii="Arial" w:cs="Arial" w:eastAsia="Arial" w:hAnsi="Arial"/>
        </w:rPr>
        <w:t xml:space="preserve">Normative verb detection is strict: shall, will, must, is required to are requirements. should, may, can are GoalsOrGuidance.</w:t>
      </w:r>
    </w:p>
    <w:p>
      <w:pPr>
        <w:pStyle w:val="ListParagraph"/>
        <w:numPr>
          <w:ilvl w:val="0"/>
          <w:numId w:val="2"/>
        </w:numPr>
        <w:spacing w:after="80" w:line="280"/>
      </w:pPr>
      <w:r>
        <w:rPr>
          <w:rFonts w:ascii="Arial" w:cs="Arial" w:eastAsia="Arial" w:hAnsi="Arial"/>
        </w:rPr>
        <w:t xml:space="preserve">Compound shalls (joined by "and" / "as well as") are split into atomic requirements with split_from_source = true.</w:t>
      </w:r>
    </w:p>
    <w:p>
      <w:pPr>
        <w:pStyle w:val="ListParagraph"/>
        <w:numPr>
          <w:ilvl w:val="0"/>
          <w:numId w:val="2"/>
        </w:numPr>
        <w:spacing w:after="80" w:line="280"/>
      </w:pPr>
      <w:r>
        <w:rPr>
          <w:rFonts w:ascii="Arial" w:cs="Arial" w:eastAsia="Arial" w:hAnsi="Arial"/>
        </w:rPr>
        <w:t xml:space="preserve">Requirement-quality flags: ambiguous_word, subjective_term, missing_tolerance, unverifiable, compound_statement, implementation_specified, rationale_missing, multiple_subjects, passive_voice_unclear_subject.</w:t>
      </w:r>
    </w:p>
    <w:p>
      <w:pPr>
        <w:pStyle w:val="ListParagraph"/>
        <w:numPr>
          <w:ilvl w:val="0"/>
          <w:numId w:val="2"/>
        </w:numPr>
        <w:spacing w:after="80" w:line="280"/>
      </w:pPr>
      <w:r>
        <w:rPr>
          <w:rFonts w:ascii="Arial" w:cs="Arial" w:eastAsia="Arial" w:hAnsi="Arial"/>
        </w:rPr>
        <w:t xml:space="preserve">Ambiguous / subjective words explicitly recognized: sufficient, adequate, appropriate, easy, reasonable, user-friendly, as needed, where possible, to the extent practical.</w:t>
      </w:r>
    </w:p>
    <w:p>
      <w:pPr>
        <w:pStyle w:val="Heading3"/>
      </w:pPr>
      <w:r>
        <w:rPr>
          <w:rFonts w:ascii="Arial" w:cs="Arial" w:eastAsia="Arial" w:hAnsi="Arial"/>
        </w:rPr>
        <w:t xml:space="preserve">Output schema highlights</w:t>
      </w:r>
    </w:p>
    <w:p>
      <w:pPr>
        <w:pStyle w:val="ListParagraph"/>
        <w:numPr>
          <w:ilvl w:val="0"/>
          <w:numId w:val="2"/>
        </w:numPr>
        <w:spacing w:after="80" w:line="280"/>
      </w:pPr>
      <w:r>
        <w:rPr>
          <w:rFonts w:ascii="Consolas" w:cs="Consolas" w:eastAsia="Consolas" w:hAnsi="Consolas"/>
          <w:color w:val="111827"/>
          <w:sz w:val="20"/>
          <w:szCs w:val="20"/>
        </w:rPr>
        <w:t xml:space="preserve">requirements[]</w:t>
      </w:r>
      <w:r>
        <w:rPr>
          <w:rFonts w:ascii="Arial" w:cs="Arial" w:eastAsia="Arial" w:hAnsi="Arial"/>
        </w:rPr>
        <w:t xml:space="preserve"> (requirement_id_hint, extracted_text, is_requirement, classification, verification_method, quality_flags, split_from_source, parent_section, source, confidence)</w:t>
      </w:r>
    </w:p>
    <w:p>
      <w:pPr>
        <w:pStyle w:val="ListParagraph"/>
        <w:numPr>
          <w:ilvl w:val="0"/>
          <w:numId w:val="2"/>
        </w:numPr>
        <w:spacing w:after="80" w:line="280"/>
      </w:pPr>
      <w:r>
        <w:rPr>
          <w:rFonts w:ascii="Consolas" w:cs="Consolas" w:eastAsia="Consolas" w:hAnsi="Consolas"/>
          <w:color w:val="111827"/>
          <w:sz w:val="20"/>
          <w:szCs w:val="20"/>
        </w:rPr>
        <w:t xml:space="preserve">non_requirement_notes[]</w:t>
      </w:r>
      <w:r>
        <w:rPr>
          <w:rFonts w:ascii="Arial" w:cs="Arial" w:eastAsia="Arial" w:hAnsi="Arial"/>
        </w:rPr>
        <w:t xml:space="preserve"> (definitions, scope descriptions, figure captions, etc. retained for traceability)</w:t>
      </w:r>
    </w:p>
    <w:p>
      <w:pPr>
        <w:pStyle w:val="ListParagraph"/>
        <w:numPr>
          <w:ilvl w:val="0"/>
          <w:numId w:val="2"/>
        </w:numPr>
        <w:spacing w:after="80" w:line="280"/>
      </w:pPr>
      <w:r>
        <w:rPr>
          <w:rFonts w:ascii="Consolas" w:cs="Consolas" w:eastAsia="Consolas" w:hAnsi="Consolas"/>
          <w:color w:val="111827"/>
          <w:sz w:val="20"/>
          <w:szCs w:val="20"/>
        </w:rPr>
        <w:t xml:space="preserve">unresolved_ambiguities[]</w:t>
      </w:r>
      <w:r>
        <w:rPr>
          <w:rFonts w:ascii="Arial" w:cs="Arial" w:eastAsia="Arial" w:hAnsi="Arial"/>
        </w:rPr>
        <w:t xml:space="preserve"> cited per-field</w:t>
      </w:r>
    </w:p>
    <w:p>
      <w:pPr>
        <w:pStyle w:val="Heading3"/>
      </w:pPr>
      <w:r>
        <w:rPr>
          <w:rFonts w:ascii="Arial" w:cs="Arial" w:eastAsia="Arial" w:hAnsi="Arial"/>
        </w:rPr>
        <w:t xml:space="preserve">Notable guardrails</w:t>
      </w:r>
    </w:p>
    <w:p>
      <w:pPr>
        <w:pStyle w:val="ListParagraph"/>
        <w:numPr>
          <w:ilvl w:val="0"/>
          <w:numId w:val="2"/>
        </w:numPr>
        <w:spacing w:after="80" w:line="280"/>
      </w:pPr>
      <w:r>
        <w:rPr>
          <w:rFonts w:ascii="Arial" w:cs="Arial" w:eastAsia="Arial" w:hAnsi="Arial"/>
        </w:rPr>
        <w:t xml:space="preserve">MinConfidenceThreshold 0.80 — bad extractions corrupt the baseline and are expensive to repair downstream.</w:t>
      </w:r>
    </w:p>
    <w:p>
      <w:pPr>
        <w:pStyle w:val="ListParagraph"/>
        <w:numPr>
          <w:ilvl w:val="0"/>
          <w:numId w:val="2"/>
        </w:numPr>
        <w:spacing w:after="80" w:line="280"/>
      </w:pPr>
      <w:r>
        <w:rPr>
          <w:rFonts w:ascii="Arial" w:cs="Arial" w:eastAsia="Arial" w:hAnsi="Arial"/>
        </w:rPr>
        <w:t xml:space="preserve">Verbatim-preservation guardrail is strict: extracted_text must appear in the source payload.</w:t>
      </w:r>
    </w:p>
    <w:p>
      <w:pPr>
        <w:pStyle w:val="Heading2"/>
      </w:pPr>
      <w:r>
        <w:rPr>
          <w:rFonts w:ascii="Arial" w:cs="Arial" w:eastAsia="Arial" w:hAnsi="Arial"/>
        </w:rPr>
        <w:t xml:space="preserve">9.3 MFG-01-WI-Source-Extractor</w:t>
      </w:r>
    </w:p>
    <w:p>
      <w:pPr>
        <w:spacing w:after="120" w:line="300"/>
      </w:pPr>
      <w:r>
        <w:rPr>
          <w:rFonts w:ascii="Arial" w:cs="Arial" w:eastAsia="Arial" w:hAnsi="Arial"/>
        </w:rPr>
        <w:t xml:space="preserve">Consumer: </w:t>
      </w:r>
      <w:r>
        <w:rPr>
          <w:rFonts w:ascii="Arial" w:cs="Arial" w:eastAsia="Arial" w:hAnsi="Arial"/>
          <w:b/>
          <w:bCs/>
        </w:rPr>
        <w:t xml:space="preserve">MFG-01 Guided Work-Instruction Author</w:t>
      </w:r>
      <w:r>
        <w:rPr>
          <w:rFonts w:ascii="Arial" w:cs="Arial" w:eastAsia="Arial" w:hAnsi="Arial"/>
        </w:rPr>
        <w:t xml:space="preserve">. Extracts manufacturing-critical facts from drawings, ECOs, planning sheets, and process specs so a downstream copilot can draft shop-floor steps.</w:t>
      </w:r>
    </w:p>
    <w:p>
      <w:pPr>
        <w:pStyle w:val="Heading3"/>
      </w:pPr>
      <w:r>
        <w:rPr>
          <w:rFonts w:ascii="Arial" w:cs="Arial" w:eastAsia="Arial" w:hAnsi="Arial"/>
        </w:rPr>
        <w:t xml:space="preserve">Key invariants</w:t>
      </w:r>
    </w:p>
    <w:p>
      <w:pPr>
        <w:pStyle w:val="ListParagraph"/>
        <w:numPr>
          <w:ilvl w:val="0"/>
          <w:numId w:val="2"/>
        </w:numPr>
        <w:spacing w:after="80" w:line="280"/>
      </w:pPr>
      <w:r>
        <w:rPr>
          <w:rFonts w:ascii="Arial" w:cs="Arial" w:eastAsia="Arial" w:hAnsi="Arial"/>
        </w:rPr>
        <w:t xml:space="preserve">Critical features (KC / KPC / CSI / FlightSafetyCritical / FractureCritical) are detected by both callout text ("KC-001", "CRITICAL") and drawing symbols (filled triangle, star, box).</w:t>
      </w:r>
    </w:p>
    <w:p>
      <w:pPr>
        <w:pStyle w:val="ListParagraph"/>
        <w:numPr>
          <w:ilvl w:val="0"/>
          <w:numId w:val="2"/>
        </w:numPr>
        <w:spacing w:after="80" w:line="280"/>
      </w:pPr>
      <w:r>
        <w:rPr>
          <w:rFonts w:ascii="Arial" w:cs="Arial" w:eastAsia="Arial" w:hAnsi="Arial"/>
        </w:rPr>
        <w:t xml:space="preserve">Limit-dimensioned tolerances ("1.250 / 1.255") are converted to nominal/upper/lower without rounding.</w:t>
      </w:r>
    </w:p>
    <w:p>
      <w:pPr>
        <w:pStyle w:val="ListParagraph"/>
        <w:numPr>
          <w:ilvl w:val="0"/>
          <w:numId w:val="2"/>
        </w:numPr>
        <w:spacing w:after="80" w:line="280"/>
      </w:pPr>
      <w:r>
        <w:rPr>
          <w:rFonts w:ascii="Arial" w:cs="Arial" w:eastAsia="Arial" w:hAnsi="Arial"/>
        </w:rPr>
        <w:t xml:space="preserve">Torque specs capture value, tolerance, units, wet_or_dry, sequence_reference, and any preload / run-down notes.</w:t>
      </w:r>
    </w:p>
    <w:p>
      <w:pPr>
        <w:pStyle w:val="ListParagraph"/>
        <w:numPr>
          <w:ilvl w:val="0"/>
          <w:numId w:val="2"/>
        </w:numPr>
        <w:spacing w:after="80" w:line="280"/>
      </w:pPr>
      <w:r>
        <w:rPr>
          <w:rFonts w:ascii="Arial" w:cs="Arial" w:eastAsia="Arial" w:hAnsi="Arial"/>
        </w:rPr>
        <w:t xml:space="preserve">Process specs capture spec_number, revision, process_class, and application string. Nadcap accreditation is flagged separately.</w:t>
      </w:r>
    </w:p>
    <w:p>
      <w:pPr>
        <w:pStyle w:val="ListParagraph"/>
        <w:numPr>
          <w:ilvl w:val="0"/>
          <w:numId w:val="2"/>
        </w:numPr>
        <w:spacing w:after="80" w:line="280"/>
      </w:pPr>
      <w:r>
        <w:rPr>
          <w:rFonts w:ascii="Arial" w:cs="Arial" w:eastAsia="Arial" w:hAnsi="Arial"/>
        </w:rPr>
        <w:t xml:space="preserve">ECO deltas are captured in eco_changes with from/to pairs. Unknown from/to values become unresolved_ambiguities rather than made-up values.</w:t>
      </w:r>
    </w:p>
    <w:p>
      <w:pPr>
        <w:pStyle w:val="Heading3"/>
      </w:pPr>
      <w:r>
        <w:rPr>
          <w:rFonts w:ascii="Arial" w:cs="Arial" w:eastAsia="Arial" w:hAnsi="Arial"/>
        </w:rPr>
        <w:t xml:space="preserve">Output schema highlights</w:t>
      </w:r>
    </w:p>
    <w:p>
      <w:pPr>
        <w:pStyle w:val="ListParagraph"/>
        <w:numPr>
          <w:ilvl w:val="0"/>
          <w:numId w:val="2"/>
        </w:numPr>
        <w:spacing w:after="80" w:line="280"/>
      </w:pPr>
      <w:r>
        <w:rPr>
          <w:rFonts w:ascii="Consolas" w:cs="Consolas" w:eastAsia="Consolas" w:hAnsi="Consolas"/>
          <w:color w:val="111827"/>
          <w:sz w:val="20"/>
          <w:szCs w:val="20"/>
        </w:rPr>
        <w:t xml:space="preserve">critical_features[]</w:t>
      </w:r>
      <w:r>
        <w:rPr>
          <w:rFonts w:ascii="Arial" w:cs="Arial" w:eastAsia="Arial" w:hAnsi="Arial"/>
        </w:rPr>
        <w:t xml:space="preserve">, </w:t>
      </w:r>
      <w:r>
        <w:rPr>
          <w:rFonts w:ascii="Consolas" w:cs="Consolas" w:eastAsia="Consolas" w:hAnsi="Consolas"/>
          <w:color w:val="111827"/>
          <w:sz w:val="20"/>
          <w:szCs w:val="20"/>
        </w:rPr>
        <w:t xml:space="preserve">tolerances[]</w:t>
      </w:r>
      <w:r>
        <w:rPr>
          <w:rFonts w:ascii="Arial" w:cs="Arial" w:eastAsia="Arial" w:hAnsi="Arial"/>
        </w:rPr>
        <w:t xml:space="preserve">, </w:t>
      </w:r>
      <w:r>
        <w:rPr>
          <w:rFonts w:ascii="Consolas" w:cs="Consolas" w:eastAsia="Consolas" w:hAnsi="Consolas"/>
          <w:color w:val="111827"/>
          <w:sz w:val="20"/>
          <w:szCs w:val="20"/>
        </w:rPr>
        <w:t xml:space="preserve">fasteners[]</w:t>
      </w:r>
      <w:r>
        <w:rPr>
          <w:rFonts w:ascii="Arial" w:cs="Arial" w:eastAsia="Arial" w:hAnsi="Arial"/>
        </w:rPr>
        <w:t xml:space="preserve">, </w:t>
      </w:r>
      <w:r>
        <w:rPr>
          <w:rFonts w:ascii="Consolas" w:cs="Consolas" w:eastAsia="Consolas" w:hAnsi="Consolas"/>
          <w:color w:val="111827"/>
          <w:sz w:val="20"/>
          <w:szCs w:val="20"/>
        </w:rPr>
        <w:t xml:space="preserve">torque_specs[]</w:t>
      </w:r>
      <w:r>
        <w:rPr>
          <w:rFonts w:ascii="Arial" w:cs="Arial" w:eastAsia="Arial" w:hAnsi="Arial"/>
        </w:rPr>
        <w:t xml:space="preserve">, </w:t>
      </w:r>
      <w:r>
        <w:rPr>
          <w:rFonts w:ascii="Consolas" w:cs="Consolas" w:eastAsia="Consolas" w:hAnsi="Consolas"/>
          <w:color w:val="111827"/>
          <w:sz w:val="20"/>
          <w:szCs w:val="20"/>
        </w:rPr>
        <w:t xml:space="preserve">process_specs[]</w:t>
      </w:r>
      <w:r>
        <w:rPr>
          <w:rFonts w:ascii="Arial" w:cs="Arial" w:eastAsia="Arial" w:hAnsi="Arial"/>
        </w:rPr>
        <w:t xml:space="preserve">, </w:t>
      </w:r>
      <w:r>
        <w:rPr>
          <w:rFonts w:ascii="Consolas" w:cs="Consolas" w:eastAsia="Consolas" w:hAnsi="Consolas"/>
          <w:color w:val="111827"/>
          <w:sz w:val="20"/>
          <w:szCs w:val="20"/>
        </w:rPr>
        <w:t xml:space="preserve">tooling[]</w:t>
      </w:r>
      <w:r>
        <w:rPr>
          <w:rFonts w:ascii="Arial" w:cs="Arial" w:eastAsia="Arial" w:hAnsi="Arial"/>
        </w:rPr>
        <w:t xml:space="preserve">, </w:t>
      </w:r>
      <w:r>
        <w:rPr>
          <w:rFonts w:ascii="Consolas" w:cs="Consolas" w:eastAsia="Consolas" w:hAnsi="Consolas"/>
          <w:color w:val="111827"/>
          <w:sz w:val="20"/>
          <w:szCs w:val="20"/>
        </w:rPr>
        <w:t xml:space="preserve">consumables[]</w:t>
      </w:r>
      <w:r>
        <w:rPr>
          <w:rFonts w:ascii="Arial" w:cs="Arial" w:eastAsia="Arial" w:hAnsi="Arial"/>
        </w:rPr>
        <w:t xml:space="preserve">, </w:t>
      </w:r>
      <w:r>
        <w:rPr>
          <w:rFonts w:ascii="Consolas" w:cs="Consolas" w:eastAsia="Consolas" w:hAnsi="Consolas"/>
          <w:color w:val="111827"/>
          <w:sz w:val="20"/>
          <w:szCs w:val="20"/>
        </w:rPr>
        <w:t xml:space="preserve">ppe[]</w:t>
      </w:r>
      <w:r>
        <w:rPr>
          <w:rFonts w:ascii="Arial" w:cs="Arial" w:eastAsia="Arial" w:hAnsi="Arial"/>
        </w:rPr>
        <w:t xml:space="preserve">, </w:t>
      </w:r>
      <w:r>
        <w:rPr>
          <w:rFonts w:ascii="Consolas" w:cs="Consolas" w:eastAsia="Consolas" w:hAnsi="Consolas"/>
          <w:color w:val="111827"/>
          <w:sz w:val="20"/>
          <w:szCs w:val="20"/>
        </w:rPr>
        <w:t xml:space="preserve">environmental_controls[]</w:t>
      </w:r>
      <w:r>
        <w:rPr>
          <w:rFonts w:ascii="Arial" w:cs="Arial" w:eastAsia="Arial" w:hAnsi="Arial"/>
        </w:rPr>
        <w:t xml:space="preserve">, </w:t>
      </w:r>
      <w:r>
        <w:rPr>
          <w:rFonts w:ascii="Consolas" w:cs="Consolas" w:eastAsia="Consolas" w:hAnsi="Consolas"/>
          <w:color w:val="111827"/>
          <w:sz w:val="20"/>
          <w:szCs w:val="20"/>
        </w:rPr>
        <w:t xml:space="preserve">inspection_points[]</w:t>
      </w:r>
      <w:r>
        <w:rPr>
          <w:rFonts w:ascii="Arial" w:cs="Arial" w:eastAsia="Arial" w:hAnsi="Arial"/>
        </w:rPr>
        <w:t xml:space="preserve">, </w:t>
      </w:r>
      <w:r>
        <w:rPr>
          <w:rFonts w:ascii="Consolas" w:cs="Consolas" w:eastAsia="Consolas" w:hAnsi="Consolas"/>
          <w:color w:val="111827"/>
          <w:sz w:val="20"/>
          <w:szCs w:val="20"/>
        </w:rPr>
        <w:t xml:space="preserve">traceability_requirements[]</w:t>
      </w:r>
      <w:r>
        <w:rPr>
          <w:rFonts w:ascii="Arial" w:cs="Arial" w:eastAsia="Arial" w:hAnsi="Arial"/>
        </w:rPr>
        <w:t xml:space="preserve">, </w:t>
      </w:r>
      <w:r>
        <w:rPr>
          <w:rFonts w:ascii="Consolas" w:cs="Consolas" w:eastAsia="Consolas" w:hAnsi="Consolas"/>
          <w:color w:val="111827"/>
          <w:sz w:val="20"/>
          <w:szCs w:val="20"/>
        </w:rPr>
        <w:t xml:space="preserve">eco_changes[]</w:t>
      </w:r>
    </w:p>
    <w:p>
      <w:pPr>
        <w:pStyle w:val="ListParagraph"/>
        <w:numPr>
          <w:ilvl w:val="0"/>
          <w:numId w:val="2"/>
        </w:numPr>
        <w:spacing w:after="80" w:line="280"/>
      </w:pPr>
      <w:r>
        <w:rPr>
          <w:rFonts w:ascii="Arial" w:cs="Arial" w:eastAsia="Arial" w:hAnsi="Arial"/>
        </w:rPr>
        <w:t xml:space="preserve">Per-fact citation: page + one of { zone, section, note_id } + doc_id.</w:t>
      </w:r>
    </w:p>
    <w:p>
      <w:pPr>
        <w:pStyle w:val="Heading3"/>
      </w:pPr>
      <w:r>
        <w:rPr>
          <w:rFonts w:ascii="Arial" w:cs="Arial" w:eastAsia="Arial" w:hAnsi="Arial"/>
        </w:rPr>
        <w:t xml:space="preserve">Notable guardrails</w:t>
      </w:r>
    </w:p>
    <w:p>
      <w:pPr>
        <w:pStyle w:val="ListParagraph"/>
        <w:numPr>
          <w:ilvl w:val="0"/>
          <w:numId w:val="2"/>
        </w:numPr>
        <w:spacing w:after="80" w:line="280"/>
      </w:pPr>
      <w:r>
        <w:rPr>
          <w:rFonts w:ascii="Arial" w:cs="Arial" w:eastAsia="Arial" w:hAnsi="Arial"/>
        </w:rPr>
        <w:t xml:space="preserve">MinConfidenceThreshold 0.80 — shop-floor errors are safety-of-flight issues.</w:t>
      </w:r>
    </w:p>
    <w:p>
      <w:pPr>
        <w:pStyle w:val="ListParagraph"/>
        <w:numPr>
          <w:ilvl w:val="0"/>
          <w:numId w:val="2"/>
        </w:numPr>
        <w:spacing w:after="80" w:line="280"/>
      </w:pPr>
      <w:r>
        <w:rPr>
          <w:rFonts w:ascii="Consolas" w:cs="Consolas" w:eastAsia="Consolas" w:hAnsi="Consolas"/>
          <w:color w:val="111827"/>
          <w:sz w:val="20"/>
          <w:szCs w:val="20"/>
        </w:rPr>
        <w:t xml:space="preserve">RefuseIfUngrounded</w:t>
      </w:r>
      <w:r>
        <w:rPr>
          <w:rFonts w:ascii="Arial" w:cs="Arial" w:eastAsia="Arial" w:hAnsi="Arial"/>
        </w:rPr>
        <w:t xml:space="preserve"> is enabled for torque_specs, tolerances, process_specs, and fasteners — the model must not invent values the drawing did not state.</w:t>
      </w:r>
    </w:p>
    <w:p>
      <w:pPr>
        <w:pStyle w:val="ListParagraph"/>
        <w:numPr>
          <w:ilvl w:val="0"/>
          <w:numId w:val="2"/>
        </w:numPr>
        <w:spacing w:after="80" w:line="280"/>
      </w:pPr>
      <w:r>
        <w:rPr>
          <w:rFonts w:ascii="Consolas" w:cs="Consolas" w:eastAsia="Consolas" w:hAnsi="Consolas"/>
          <w:color w:val="111827"/>
          <w:sz w:val="20"/>
          <w:szCs w:val="20"/>
        </w:rPr>
        <w:t xml:space="preserve">Verbatim preservation</w:t>
      </w:r>
      <w:r>
        <w:rPr>
          <w:rFonts w:ascii="Arial" w:cs="Arial" w:eastAsia="Arial" w:hAnsi="Arial"/>
        </w:rPr>
        <w:t xml:space="preserve"> applies to every verbatim_source_text field.</w:t>
      </w:r>
    </w:p>
    <w:p>
      <w:pPr>
        <w:pStyle w:val="Heading1"/>
        <w:pageBreakBefore/>
      </w:pPr>
      <w:r>
        <w:rPr>
          <w:rFonts w:ascii="Arial" w:cs="Arial" w:eastAsia="Arial" w:hAnsi="Arial"/>
        </w:rPr>
        <w:t xml:space="preserve">10. Future Work</w:t>
      </w:r>
    </w:p>
    <w:p>
      <w:pPr>
        <w:pStyle w:val="ListParagraph"/>
        <w:numPr>
          <w:ilvl w:val="0"/>
          <w:numId w:val="2"/>
        </w:numPr>
        <w:spacing w:after="80" w:line="280"/>
      </w:pPr>
      <w:r>
        <w:rPr>
          <w:rFonts w:ascii="Arial" w:cs="Arial" w:eastAsia="Arial" w:hAnsi="Arial"/>
        </w:rPr>
        <w:t xml:space="preserve">Framework-native page-marker injection for drawings stored in PLM systems (Teamcenter, Windchill, 3DEXPERIENCE).</w:t>
      </w:r>
    </w:p>
    <w:p>
      <w:pPr>
        <w:pStyle w:val="ListParagraph"/>
        <w:numPr>
          <w:ilvl w:val="0"/>
          <w:numId w:val="2"/>
        </w:numPr>
        <w:spacing w:after="80" w:line="280"/>
      </w:pPr>
      <w:r>
        <w:rPr>
          <w:rFonts w:ascii="Arial" w:cs="Arial" w:eastAsia="Arial" w:hAnsi="Arial"/>
        </w:rPr>
        <w:t xml:space="preserve">Adapter layer for streaming responses so large specs can begin yielding requirements before the full completion returns (ENG-01 in particular).</w:t>
      </w:r>
    </w:p>
    <w:p>
      <w:pPr>
        <w:pStyle w:val="ListParagraph"/>
        <w:numPr>
          <w:ilvl w:val="0"/>
          <w:numId w:val="2"/>
        </w:numPr>
        <w:spacing w:after="80" w:line="280"/>
      </w:pPr>
      <w:r>
        <w:rPr>
          <w:rFonts w:ascii="Arial" w:cs="Arial" w:eastAsia="Arial" w:hAnsi="Arial"/>
        </w:rPr>
        <w:t xml:space="preserve">Shared citation resolver that converts an ExtractionInvocation.Citation into a deep link into the source PDF viewer, for all Wave 1 consumer apps.</w:t>
      </w:r>
    </w:p>
    <w:p>
      <w:pPr>
        <w:pStyle w:val="ListParagraph"/>
        <w:numPr>
          <w:ilvl w:val="0"/>
          <w:numId w:val="2"/>
        </w:numPr>
        <w:spacing w:after="80" w:line="280"/>
      </w:pPr>
      <w:r>
        <w:rPr>
          <w:rFonts w:ascii="Arial" w:cs="Arial" w:eastAsia="Arial" w:hAnsi="Arial"/>
        </w:rPr>
        <w:t xml:space="preserve">Reviewer UI pattern library — a reusable Mendix snippet for the LowConfidence / SchemaInvalid queue.</w:t>
      </w:r>
    </w:p>
    <w:p>
      <w:pPr>
        <w:pStyle w:val="ListParagraph"/>
        <w:numPr>
          <w:ilvl w:val="0"/>
          <w:numId w:val="2"/>
        </w:numPr>
        <w:spacing w:after="80" w:line="280"/>
      </w:pPr>
      <w:r>
        <w:rPr>
          <w:rFonts w:ascii="Arial" w:cs="Arial" w:eastAsia="Arial" w:hAnsi="Arial"/>
        </w:rPr>
        <w:t xml:space="preserve">Multi-backend A/B invocation for the drift monitor — same input, two backends, report divergence.</w:t>
      </w:r>
    </w:p>
    <w:p>
      <w:pPr>
        <w:pStyle w:val="ListParagraph"/>
        <w:numPr>
          <w:ilvl w:val="0"/>
          <w:numId w:val="2"/>
        </w:numPr>
        <w:spacing w:after="80" w:line="280"/>
      </w:pPr>
      <w:r>
        <w:rPr>
          <w:rFonts w:ascii="Arial" w:cs="Arial" w:eastAsia="Arial" w:hAnsi="Arial"/>
        </w:rPr>
        <w:t xml:space="preserve">Additional primitives: Guided Copilot (Wave 1 — needed for MFG-01 authoring step), Drafting &amp; Generation (Wave 2), Decision Support &amp; Triage (Wave 2). Each will get its own design doc that references this one.</w:t>
      </w:r>
    </w:p>
    <w:p>
      <w:pPr>
        <w:pStyle w:val="Heading1"/>
        <w:pageBreakBefore/>
      </w:pPr>
      <w:r>
        <w:rPr>
          <w:rFonts w:ascii="Arial" w:cs="Arial" w:eastAsia="Arial" w:hAnsi="Arial"/>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Term</w:t>
            </w:r>
          </w:p>
        </w:tc>
        <w:tc>
          <w:tcPr>
            <w:tcW w:type="dxa" w:w="6960"/>
            <w:tcBorders>
              <w:top w:val="single" w:color="D1D5DB" w:sz="4"/>
              <w:left w:val="single" w:color="D1D5DB" w:sz="4"/>
              <w:bottom w:val="single" w:color="D1D5DB" w:sz="4"/>
              <w:right w:val="single" w:color="D1D5DB" w:sz="4"/>
            </w:tcBorders>
            <w:shd w:fill="1F3A5F" w:val="clear"/>
            <w:tcMar>
              <w:top w:type="dxa" w:w="80"/>
              <w:left w:type="dxa" w:w="120"/>
              <w:bottom w:type="dxa" w:w="80"/>
              <w:right w:type="dxa" w:w="120"/>
            </w:tcMar>
          </w:tcPr>
          <w:p>
            <w:pPr>
              <w:jc w:val="left"/>
            </w:pPr>
            <w:r>
              <w:rPr>
                <w:rFonts w:ascii="Arial" w:cs="Arial" w:eastAsia="Arial" w:hAnsi="Arial"/>
                <w:b/>
                <w:bCs/>
                <w:sz w:val="20"/>
                <w:szCs w:val="20"/>
              </w:rPr>
              <w:t xml:space="preserve">Definition</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A&amp;D</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Aerospace &amp; Defense.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AMS</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Aerospace Material Specification, SAE-published.</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CMMC</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Cybersecurity Maturity Model Certification.</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CSI</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Critical Safety Item.</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DER</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Designated Engineering Representative (FAA).</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DFARS</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Defense Federal Acquisition Regulation Supplement.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DPAS</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Defense Priorities and Allocations System.</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DXA</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Twentieths of a point, the unit used by Word for widths and margins (1440 DXA = 1 inch).</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ECO</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Engineering Change Order.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Federal Acquisition Regulation.</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FOD</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Foreign Object Debris.</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GD&amp;T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Geometric Dimensioning and Tolerancing.</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ICD</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Interface Control Document.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ITAR</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International Traffic in Arms Regulations.</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KC / KPC</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Key Characteristic / Key Product Characteristic.</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LRU</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Line-Replaceable Unit.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MBSE</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Model-Based Systems Engineering.</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MES</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Manufacturing Execution System.</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Nadcap</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Industry-managed accreditation program for special processes in aerospace.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NDT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Non-Destructive Testing.</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NIST 800-171</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NIST standard for protecting Controlled Unclassified Information.</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PLM</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Product Lifecycle Management.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PPE</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Personal Protective Equipment.</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RFQ / RFP / SOW</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Request For Quote / Proposal, Statement Of Work.</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SysML</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Systems Modeling Language.</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Shall-statement</w:t>
            </w:r>
          </w:p>
        </w:tc>
        <w:tc>
          <w:tcPr>
            <w:tcW w:type="dxa" w:w="69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normative requirement statement using the verb “shall”, “will”, or “must”.</w:t>
            </w:r>
          </w:p>
        </w:tc>
      </w:tr>
      <w:tr>
        <w:tc>
          <w:tcPr>
            <w:tcW w:type="dxa" w:w="240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USML</w:t>
            </w:r>
          </w:p>
        </w:tc>
        <w:tc>
          <w:tcPr>
            <w:tcW w:type="dxa" w:w="6960"/>
            <w:tcBorders>
              <w:top w:val="single" w:color="D1D5DB" w:sz="4"/>
              <w:left w:val="single" w:color="D1D5DB" w:sz="4"/>
              <w:bottom w:val="single" w:color="D1D5DB" w:sz="4"/>
              <w:right w:val="single" w:color="D1D5DB" w:sz="4"/>
            </w:tcBorders>
            <w:shd w:fill="F2F6FA"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United States Munitions List.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7280"/>
        <w:sz w:val="18"/>
        <w:szCs w:val="18"/>
      </w:rPr>
      <w:t xml:space="preserve">Confidential</w:t>
    </w:r>
    <w:r>
      <w:rPr>
        <w:rFonts w:ascii="Arial" w:cs="Arial" w:eastAsia="Arial" w:hAnsi="Arial"/>
      </w:rPr>
      <w:ptab w:alignment="right" w:relativeTo="margin" w:leader="none"/>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B7280"/>
        <w:sz w:val="18"/>
        <w:szCs w:val="18"/>
      </w:rPr>
      <w:t xml:space="preserve">AI Interaction Framework — Document-Extract Primitive</w:t>
    </w:r>
    <w:r>
      <w:rPr>
        <w:rFonts w:ascii="Arial" w:cs="Arial" w:eastAsia="Arial" w:hAnsi="Arial"/>
      </w:rPr>
      <w:ptab w:alignment="right" w:relativeTo="margin" w:leader="none"/>
    </w:r>
    <w:r>
      <w:rPr>
        <w:rFonts w:ascii="Arial" w:cs="Arial" w:eastAsia="Arial" w:hAnsi="Arial"/>
        <w:color w:val="6B7280"/>
        <w:sz w:val="18"/>
        <w:szCs w:val="18"/>
      </w:rPr>
      <w:t xml:space="preserve">Design Specification — v0.1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Document-Extract Primitive Design Specification</dc:title>
  <dc:creator>AI Interaction Framework</dc:creator>
  <dc:description>Design spec for the Document-Extract primitive of the AI Interaction Framework on Mendix.</dc:description>
  <cp:lastModifiedBy>Un-named</cp:lastModifiedBy>
  <cp:revision>1</cp:revision>
  <dcterms:created xsi:type="dcterms:W3CDTF">2026-04-19T12:51:20.852Z</dcterms:created>
  <dcterms:modified xsi:type="dcterms:W3CDTF">2026-04-19T12:51:20.853Z</dcterms:modified>
</cp:coreProperties>
</file>

<file path=docProps/custom.xml><?xml version="1.0" encoding="utf-8"?>
<Properties xmlns="http://schemas.openxmlformats.org/officeDocument/2006/custom-properties" xmlns:vt="http://schemas.openxmlformats.org/officeDocument/2006/docPropsVTypes"/>
</file>