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240"/>
      </w:pPr>
      <w:r>
        <w:rPr>
          <w:rFonts w:ascii="Arial" w:cs="Arial" w:eastAsia="Arial" w:hAnsi="Arial"/>
          <w:b/>
          <w:bCs/>
          <w:color w:val="1F3A5F"/>
          <w:sz w:val="56"/>
          <w:szCs w:val="56"/>
        </w:rPr>
        <w:t xml:space="preserve">SCM-05</w:t>
      </w:r>
    </w:p>
    <w:p>
      <w:pPr>
        <w:spacing w:after="120"/>
      </w:pPr>
      <w:r>
        <w:rPr>
          <w:rFonts w:ascii="Arial" w:cs="Arial" w:eastAsia="Arial" w:hAnsi="Arial"/>
          <w:b/>
          <w:bCs/>
          <w:color w:val="2E75B6"/>
          <w:sz w:val="44"/>
          <w:szCs w:val="44"/>
        </w:rPr>
        <w:t xml:space="preserve">Multi-Level Pegging Explorer</w:t>
      </w:r>
    </w:p>
    <w:p>
      <w:pPr>
        <w:spacing w:after="600"/>
      </w:pPr>
      <w:r>
        <w:rPr>
          <w:rFonts w:ascii="Arial" w:cs="Arial" w:eastAsia="Arial" w:hAnsi="Arial"/>
          <w:color w:val="111827"/>
          <w:sz w:val="32"/>
          <w:szCs w:val="32"/>
        </w:rPr>
        <w:t xml:space="preserve">Design Specification</w:t>
      </w:r>
    </w:p>
    <w:p>
      <w:pPr>
        <w:spacing w:after="120"/>
      </w:pPr>
      <w:r>
        <w:rPr>
          <w:rFonts w:ascii="Arial" w:cs="Arial" w:eastAsia="Arial" w:hAnsi="Arial"/>
          <w:i/>
          <w:iCs/>
          <w:color w:val="6B7280"/>
          <w:sz w:val="24"/>
          <w:szCs w:val="24"/>
        </w:rPr>
        <w:t xml:space="preserve">Aerospace &amp; Defense Electronics</w:t>
      </w:r>
    </w:p>
    <w:p>
      <w:pPr>
        <w:spacing w:after="600"/>
      </w:pPr>
      <w:r>
        <w:rPr>
          <w:rFonts w:ascii="Arial" w:cs="Arial" w:eastAsia="Arial" w:hAnsi="Arial"/>
          <w:i/>
          <w:iCs/>
          <w:color w:val="6B7280"/>
          <w:sz w:val="22"/>
          <w:szCs w:val="22"/>
        </w:rPr>
        <w:t xml:space="preserve">Bidirectional 15-level BOM and pegging visibility, with Document-Extract, Guided Copilot, and Decision Support primitives.</w:t>
      </w:r>
    </w:p>
    <w:p>
      <w:pPr>
        <w:spacing w:after="60"/>
      </w:pPr>
      <w:r>
        <w:rPr>
          <w:rFonts w:ascii="Arial" w:cs="Arial" w:eastAsia="Arial" w:hAnsi="Arial"/>
          <w:sz w:val="22"/>
          <w:szCs w:val="22"/>
        </w:rPr>
        <w:t xml:space="preserve">Version 0.1 — Draft for Review</w:t>
      </w:r>
    </w:p>
    <w:p>
      <w:r>
        <w:rPr>
          <w:rFonts w:ascii="Arial" w:cs="Arial" w:eastAsia="Arial" w:hAnsi="Arial"/>
          <w:sz w:val="22"/>
          <w:szCs w:val="22"/>
        </w:rPr>
        <w:t xml:space="preserve">April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line="300"/>
      </w:pPr>
      <w:r>
        <w:rPr>
          <w:rFonts w:ascii="Arial" w:cs="Arial" w:eastAsia="Arial" w:hAnsi="Arial"/>
        </w:rPr>
        <w:t xml:space="preserve">SCM-05 is a Mendix Marketplace application that gives master schedulers, materials managers, and component engineers a </w:t>
      </w:r>
      <w:r>
        <w:rPr>
          <w:rFonts w:ascii="Arial" w:cs="Arial" w:eastAsia="Arial" w:hAnsi="Arial"/>
          <w:b/>
          <w:bCs/>
        </w:rPr>
        <w:t xml:space="preserve">real-time bidirectional view of multi-level BOMs and the pegging state of every part within them</w:t>
      </w:r>
      <w:r>
        <w:rPr>
          <w:rFonts w:ascii="Arial" w:cs="Arial" w:eastAsia="Arial" w:hAnsi="Arial"/>
        </w:rPr>
        <w:t xml:space="preserve">. In aerospace &amp; defense electronics, BOMs are routinely 15 levels deep and a single supplier component (a functional safety AFE, a rad-tolerant FPGA, an EMI filter) can be pegged across dozens of subassemblies and multiple end items spanning several customer programs. The pegging state is the joint of three things: a </w:t>
      </w:r>
      <w:r>
        <w:rPr>
          <w:rFonts w:ascii="Arial" w:cs="Arial" w:eastAsia="Arial" w:hAnsi="Arial"/>
          <w:b/>
          <w:bCs/>
        </w:rPr>
        <w:t xml:space="preserve">hard peg</w:t>
      </w:r>
      <w:r>
        <w:rPr>
          <w:rFonts w:ascii="Arial" w:cs="Arial" w:eastAsia="Arial" w:hAnsi="Arial"/>
        </w:rPr>
        <w:t xml:space="preserve"> (a firm allocation of a supply transaction to a specific demand), a </w:t>
      </w:r>
      <w:r>
        <w:rPr>
          <w:rFonts w:ascii="Arial" w:cs="Arial" w:eastAsia="Arial" w:hAnsi="Arial"/>
          <w:b/>
          <w:bCs/>
        </w:rPr>
        <w:t xml:space="preserve">soft peg</w:t>
      </w:r>
      <w:r>
        <w:rPr>
          <w:rFonts w:ascii="Arial" w:cs="Arial" w:eastAsia="Arial" w:hAnsi="Arial"/>
        </w:rPr>
        <w:t xml:space="preserve"> (an algorithmically inferred match), and a gap (uncovered demand). Today this state lives partly in the ERP, partly in a planning system, partly in spreadsheets that planners rebuild from scratch every time a supplier slips or an EOL notice lands.</w:t>
      </w:r>
    </w:p>
    <w:p>
      <w:pPr>
        <w:spacing w:after="120" w:line="300"/>
      </w:pPr>
      <w:r>
        <w:rPr>
          <w:rFonts w:ascii="Arial" w:cs="Arial" w:eastAsia="Arial" w:hAnsi="Arial"/>
        </w:rPr>
        <w:t xml:space="preserve">SCM-05 reads the joined state from a data lake that consolidates ERP and MES feeds, presents it through a three-pane explorer (BOM tree, part detail with time-phased pegging ladder, AI side panel), and exposes three standardized AI workflows on top of the same governed framework that powers the rest of the portfolio:</w:t>
      </w:r>
    </w:p>
    <w:p>
      <w:pPr>
        <w:pStyle w:val="ListParagraph"/>
        <w:numPr>
          <w:ilvl w:val="0"/>
          <w:numId w:val="2"/>
        </w:numPr>
        <w:spacing w:after="80" w:line="280"/>
      </w:pPr>
      <w:r>
        <w:rPr>
          <w:rFonts w:ascii="Arial" w:cs="Arial" w:eastAsia="Arial" w:hAnsi="Arial"/>
        </w:rPr>
        <w:t xml:space="preserve">Document-Extract — ingest supplier PCN / EOL / LTB notices and identify affected manufacturer part numbers and milestones.</w:t>
      </w:r>
    </w:p>
    <w:p>
      <w:pPr>
        <w:pStyle w:val="ListParagraph"/>
        <w:numPr>
          <w:ilvl w:val="0"/>
          <w:numId w:val="2"/>
        </w:numPr>
        <w:spacing w:after="80" w:line="280"/>
      </w:pPr>
      <w:r>
        <w:rPr>
          <w:rFonts w:ascii="Arial" w:cs="Arial" w:eastAsia="Arial" w:hAnsi="Arial"/>
        </w:rPr>
        <w:t xml:space="preserve">Guided Copilot — conversational Q&amp;A over the typed pegging graph (“what slips if PN MAX14001 is delayed 4 weeks?”) with cited answers.</w:t>
      </w:r>
    </w:p>
    <w:p>
      <w:pPr>
        <w:pStyle w:val="ListParagraph"/>
        <w:numPr>
          <w:ilvl w:val="0"/>
          <w:numId w:val="2"/>
        </w:numPr>
        <w:spacing w:after="80" w:line="280"/>
      </w:pPr>
      <w:r>
        <w:rPr>
          <w:rFonts w:ascii="Arial" w:cs="Arial" w:eastAsia="Arial" w:hAnsi="Arial"/>
        </w:rPr>
        <w:t xml:space="preserve">Decision Support &amp; Triage — ranked recommendations for soft pegs that should be hardened, expedited, or routed for review.</w:t>
      </w:r>
    </w:p>
    <w:p>
      <w:pPr>
        <w:spacing w:after="120" w:line="300"/>
      </w:pPr>
      <w:r>
        <w:rPr>
          <w:rFonts w:ascii="Arial" w:cs="Arial" w:eastAsia="Arial" w:hAnsi="Arial"/>
        </w:rPr>
        <w:t xml:space="preserve">This document specifies SCM-05's data model, integration architecture, UX, and AI workflows. The Document-Extract template ships in Wave 2 alongside the application; the Guided Copilot and Decision Support templates ship as the corresponding interaction primitives are formalized (Wave 2 and Wave 3 of the AI Interaction Framework,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8EEF5" w:val="clear"/>
            <w:tcMar>
              <w:top w:type="dxa" w:w="160"/>
              <w:left w:type="dxa" w:w="240"/>
              <w:bottom w:type="dxa" w:w="160"/>
              <w:right w:type="dxa" w:w="240"/>
            </w:tcMar>
          </w:tcPr>
          <w:p>
            <w:pPr>
              <w:spacing w:after="80"/>
            </w:pPr>
            <w:r>
              <w:rPr>
                <w:rFonts w:ascii="Arial" w:cs="Arial" w:eastAsia="Arial" w:hAnsi="Arial"/>
                <w:b/>
                <w:bCs/>
                <w:color w:val="1F3A5F"/>
                <w:sz w:val="22"/>
                <w:szCs w:val="22"/>
              </w:rPr>
              <w:t xml:space="preserve">Audience and scope</w:t>
            </w:r>
          </w:p>
          <w:p>
            <w:pPr>
              <w:spacing w:after="60" w:line="280"/>
            </w:pPr>
            <w:r>
              <w:rPr>
                <w:rFonts w:ascii="Arial" w:cs="Arial" w:eastAsia="Arial" w:hAnsi="Arial"/>
                <w:sz w:val="22"/>
                <w:szCs w:val="22"/>
              </w:rPr>
              <w:t xml:space="preserve">Audience: Mendix architects building the SCM-05 module; materials and planning leads sponsoring deployment.</w:t>
            </w:r>
          </w:p>
          <w:p>
            <w:pPr>
              <w:spacing w:after="60" w:line="280"/>
            </w:pPr>
            <w:r>
              <w:rPr>
                <w:rFonts w:ascii="Arial" w:cs="Arial" w:eastAsia="Arial" w:hAnsi="Arial"/>
                <w:sz w:val="22"/>
                <w:szCs w:val="22"/>
              </w:rPr>
              <w:t xml:space="preserve">Scope: data model, ERP / data-lake integration shape, UX, AI workflows, governance.</w:t>
            </w:r>
          </w:p>
          <w:p>
            <w:pPr>
              <w:spacing w:after="60" w:line="280"/>
            </w:pPr>
            <w:r>
              <w:rPr>
                <w:rFonts w:ascii="Arial" w:cs="Arial" w:eastAsia="Arial" w:hAnsi="Arial"/>
                <w:sz w:val="22"/>
                <w:szCs w:val="22"/>
              </w:rPr>
              <w:t xml:space="preserve">Not in scope: the planning algorithms inside the source ERP/planning system; SCM-05 displays and queries pegging state, it does not run MRP or replan from scratch.</w:t>
            </w:r>
          </w:p>
        </w:tc>
      </w:tr>
    </w:tbl>
    <w:p>
      <w:pPr>
        <w:pStyle w:val="Heading1"/>
        <w:pageBreakBefore/>
      </w:pPr>
      <w:r>
        <w:rPr>
          <w:rFonts w:ascii="Arial" w:cs="Arial" w:eastAsia="Arial" w:hAnsi="Arial"/>
        </w:rPr>
        <w:t xml:space="preserve">2. Business Context</w:t>
      </w:r>
    </w:p>
    <w:p>
      <w:pPr>
        <w:pStyle w:val="Heading2"/>
      </w:pPr>
      <w:r>
        <w:rPr>
          <w:rFonts w:ascii="Arial" w:cs="Arial" w:eastAsia="Arial" w:hAnsi="Arial"/>
        </w:rPr>
        <w:t xml:space="preserve">2.1 The pegging problem in A&amp;D electronics</w:t>
      </w:r>
    </w:p>
    <w:p>
      <w:pPr>
        <w:spacing w:after="120" w:line="300"/>
      </w:pPr>
      <w:r>
        <w:rPr>
          <w:rFonts w:ascii="Arial" w:cs="Arial" w:eastAsia="Arial" w:hAnsi="Arial"/>
        </w:rPr>
        <w:t xml:space="preserve">An aerospace &amp; defense avionics LRU may have a top-level BOM that decomposes into power supply subassemblies, single-board computers, I/O boards, harnesses, and chassis. Each subassembly has its own multi-level structure of PCBs, modules, and components. Through 10–15 levels, that structure terminates in tens of thousands of leaf items — capacitors, op-amps, FPGAs, connectors, fasteners, sealants. The same supplier component routinely appears in many places.</w:t>
      </w:r>
    </w:p>
    <w:p>
      <w:pPr>
        <w:spacing w:after="120" w:line="300"/>
      </w:pPr>
      <w:r>
        <w:rPr>
          <w:rFonts w:ascii="Arial" w:cs="Arial" w:eastAsia="Arial" w:hAnsi="Arial"/>
        </w:rPr>
        <w:t xml:space="preserve">On the supply side: open POs with dock dates, planned receipts from the next MRP run, on-hand inventory in stockrooms, and customer-furnished material. On the demand side: customer-driven work orders for end items, internal kitting orders for subassemblies, MRO and spares lines.</w:t>
      </w:r>
    </w:p>
    <w:p>
      <w:pPr>
        <w:spacing w:after="120" w:line="300"/>
      </w:pPr>
      <w:r>
        <w:rPr>
          <w:rFonts w:ascii="Arial" w:cs="Arial" w:eastAsia="Arial" w:hAnsi="Arial"/>
        </w:rPr>
        <w:t xml:space="preserve">Pegging is the join. The planning system computes a candidate match (typically using FIFO by need-by-date, with rules around program priority and source mixing). Some of those matches are firmed up by a planner into hard pegs that the ERP enforces in receipt and issue; the rest remain soft, ranked, and re-rankable as conditions change.</w:t>
      </w:r>
    </w:p>
    <w:p>
      <w:pPr>
        <w:spacing w:after="120" w:line="300"/>
      </w:pPr>
      <w:r>
        <w:rPr>
          <w:rFonts w:ascii="Arial" w:cs="Arial" w:eastAsia="Arial" w:hAnsi="Arial"/>
        </w:rPr>
        <w:t xml:space="preserve">The business problem is that planners rebuild this picture by hand every time something disturbs it — a supplier slip, a customer pull-in, an EOL notice, an ECO that re-baselines a subassembly. The lag is hours to days; the impact analysis is incomplete; surprises land in production.</w:t>
      </w:r>
    </w:p>
    <w:p>
      <w:pPr>
        <w:pStyle w:val="Heading2"/>
      </w:pPr>
      <w:r>
        <w:rPr>
          <w:rFonts w:ascii="Arial" w:cs="Arial" w:eastAsia="Arial" w:hAnsi="Arial"/>
        </w:rPr>
        <w:t xml:space="preserve">2.2 What SCM-05 changes</w:t>
      </w:r>
    </w:p>
    <w:p>
      <w:pPr>
        <w:pStyle w:val="ListParagraph"/>
        <w:numPr>
          <w:ilvl w:val="0"/>
          <w:numId w:val="2"/>
        </w:numPr>
        <w:spacing w:after="80" w:line="280"/>
      </w:pPr>
      <w:r>
        <w:rPr>
          <w:rFonts w:ascii="Arial" w:cs="Arial" w:eastAsia="Arial" w:hAnsi="Arial"/>
        </w:rPr>
        <w:t xml:space="preserve">Pegging visibility is </w:t>
      </w:r>
      <w:r>
        <w:rPr>
          <w:rFonts w:ascii="Arial" w:cs="Arial" w:eastAsia="Arial" w:hAnsi="Arial"/>
          <w:b/>
          <w:bCs/>
        </w:rPr>
        <w:t xml:space="preserve">real-time</w:t>
      </w:r>
      <w:r>
        <w:rPr>
          <w:rFonts w:ascii="Arial" w:cs="Arial" w:eastAsia="Arial" w:hAnsi="Arial"/>
        </w:rPr>
        <w:t xml:space="preserve"> (lake CDC refresh, typically 1–5 minutes) and </w:t>
      </w:r>
      <w:r>
        <w:rPr>
          <w:rFonts w:ascii="Arial" w:cs="Arial" w:eastAsia="Arial" w:hAnsi="Arial"/>
          <w:b/>
          <w:bCs/>
        </w:rPr>
        <w:t xml:space="preserve">queryable in natural language</w:t>
      </w:r>
      <w:r>
        <w:rPr>
          <w:rFonts w:ascii="Arial" w:cs="Arial" w:eastAsia="Arial" w:hAnsi="Arial"/>
        </w:rPr>
        <w:t xml:space="preserve"> via a Guided Copilot.</w:t>
      </w:r>
    </w:p>
    <w:p>
      <w:pPr>
        <w:pStyle w:val="ListParagraph"/>
        <w:numPr>
          <w:ilvl w:val="0"/>
          <w:numId w:val="2"/>
        </w:numPr>
        <w:spacing w:after="80" w:line="280"/>
      </w:pPr>
      <w:r>
        <w:rPr>
          <w:rFonts w:ascii="Arial" w:cs="Arial" w:eastAsia="Arial" w:hAnsi="Arial"/>
        </w:rPr>
        <w:t xml:space="preserve">Up traversal (“where is this part used?”) and down traversal (“what does this end item need?”) are first-class, not derived from spreadsheets.</w:t>
      </w:r>
    </w:p>
    <w:p>
      <w:pPr>
        <w:pStyle w:val="ListParagraph"/>
        <w:numPr>
          <w:ilvl w:val="0"/>
          <w:numId w:val="2"/>
        </w:numPr>
        <w:spacing w:after="80" w:line="280"/>
      </w:pPr>
      <w:r>
        <w:rPr>
          <w:rFonts w:ascii="Arial" w:cs="Arial" w:eastAsia="Arial" w:hAnsi="Arial"/>
        </w:rPr>
        <w:t xml:space="preserve">Soft-peg risk is scored nightly by a Decision Support workflow so the planner sees what to harden first, rather than scrolling rank-by-rank.</w:t>
      </w:r>
    </w:p>
    <w:p>
      <w:pPr>
        <w:pStyle w:val="ListParagraph"/>
        <w:numPr>
          <w:ilvl w:val="0"/>
          <w:numId w:val="2"/>
        </w:numPr>
        <w:spacing w:after="80" w:line="280"/>
      </w:pPr>
      <w:r>
        <w:rPr>
          <w:rFonts w:ascii="Arial" w:cs="Arial" w:eastAsia="Arial" w:hAnsi="Arial"/>
        </w:rPr>
        <w:t xml:space="preserve">Supplier change notices (PCN/EOL/LTB) are extracted into structured records and joined to BOMs automatically, surfacing impact within minutes of receipt.</w:t>
      </w:r>
    </w:p>
    <w:p>
      <w:pPr>
        <w:pStyle w:val="Heading2"/>
      </w:pPr>
      <w:r>
        <w:rPr>
          <w:rFonts w:ascii="Arial" w:cs="Arial" w:eastAsia="Arial" w:hAnsi="Arial"/>
        </w:rPr>
        <w:t xml:space="preserve">2.3 Personas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Persona</w:t>
            </w:r>
          </w:p>
        </w:tc>
        <w:tc>
          <w:tcPr>
            <w:tcW w:type="dxa" w:w="49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Primary use</w:t>
            </w:r>
          </w:p>
        </w:tc>
        <w:tc>
          <w:tcPr>
            <w:tcW w:type="dxa" w:w="20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Permissions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Master Scheduler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Daily pegging review; what-if when a supplier slips; soft-peg-to-hard-peg recommendations.</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 harden-peg with approval</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Materials Manager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 positioning across programs; expedite calls; risk triage queue; PCN / EOL impact triage.</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 harden + expedite</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Component Engineer</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Triage of incoming PCN / EOL / LTB notices; alternate-MPN qualification scope; obsolescence forecasting.</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 propose alt MPN</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Program Material Lead</w:t>
            </w:r>
          </w:p>
        </w:tc>
        <w:tc>
          <w:tcPr>
            <w:tcW w:type="dxa" w:w="4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Per-program rollup of pegging health; bid/no-bid input on new buys; weekly CRB reporting.</w:t>
            </w:r>
          </w:p>
        </w:tc>
        <w:tc>
          <w:tcPr>
            <w:tcW w:type="dxa" w:w="2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w:t>
            </w:r>
          </w:p>
        </w:tc>
      </w:tr>
    </w:tbl>
    <w:p>
      <w:pPr>
        <w:pStyle w:val="Heading1"/>
        <w:pageBreakBefore/>
      </w:pPr>
      <w:r>
        <w:rPr>
          <w:rFonts w:ascii="Arial" w:cs="Arial" w:eastAsia="Arial" w:hAnsi="Arial"/>
        </w:rPr>
        <w:t xml:space="preserve">3. Conceptual Model</w:t>
      </w:r>
    </w:p>
    <w:p>
      <w:pPr>
        <w:pStyle w:val="Heading2"/>
      </w:pPr>
      <w:r>
        <w:rPr>
          <w:rFonts w:ascii="Arial" w:cs="Arial" w:eastAsia="Arial" w:hAnsi="Arial"/>
        </w:rPr>
        <w:t xml:space="preserve">3.1 Entities</w:t>
      </w:r>
    </w:p>
    <w:p>
      <w:pPr>
        <w:spacing w:after="120" w:line="300"/>
      </w:pPr>
      <w:r>
        <w:rPr>
          <w:rFonts w:ascii="Arial" w:cs="Arial" w:eastAsia="Arial" w:hAnsi="Arial"/>
        </w:rPr>
        <w:t xml:space="preserve">The Mendix module exposes the entities below. They mirror the data-lake schema for the read-mostly path; hard-peg overrides write back to the ERP via a published API or staging table (see </w:t>
      </w:r>
      <w:r>
        <w:rPr>
          <w:rFonts w:ascii="Arial" w:cs="Arial" w:eastAsia="Arial" w:hAnsi="Arial"/>
          <w:b/>
          <w:bCs/>
        </w:rPr>
        <w:t xml:space="preserve">§4.4</w:t>
      </w:r>
      <w:r>
        <w:rPr>
          <w:rFonts w:ascii="Arial" w:cs="Arial" w:eastAsia="Arial" w:hAnsi="Arial"/>
        </w:rPr>
        <w:t xml:space="preser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Entity</w:t>
            </w:r>
          </w:p>
        </w:tc>
        <w:tc>
          <w:tcPr>
            <w:tcW w:type="dxa" w:w="72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Key attributes</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part_number, nomenclature, source_type (Buy|Make|Kit), unit_of_measure, default_lead_time_weeks, lifecycle_status (Active|EOL|Inactive), is_safety_of_flight, criticality_marker (KC|KPC|CSI|None).</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ManufacturerPart</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Cross-reference: manufacturer, manufacturer_part_number, AVL_status (Approved|Conditional|Disqualified), grade_marking, RoHS_marking, lifecycle_status.</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BOM</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parent_part, version, effectivity_from, effectivity_to, status (WorkInProgress|Released|Obsolete), source_system (PLM|ERP).</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BOMLine</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child_part, qty_per, find_number, reference_designator, level (calculated, 1–15). Composite child of BOM.</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WorkOrder</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work_order_number, end_item_part, qty, status (Planned|Released|Started|Complete|Closed), program, customer, due_date.</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Demand</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work_order, part, qty_required, need_by_date, priority, status (Open|Pegged|Issued|Closed). Generated from MRP explosion of the BOM against work orders.</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Supply</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supply_type (PO|PlannedReceipt|OnHand|Transfer|CFM), supplier, manufacturer_part, qty, dock_date, status (Open|Receipted|Closed), source_transaction_id.</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HardPeg</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 supply, pegged_qty, pegged_by_user, pegged_at, rationale, expires_at. Immutable history; corrections are new rows.</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SoftPeg</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 supply, ranked_score, algorithm_version, computed_at, rank_within_demand. Transient; recomputed on lake refresh.</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PCNNotice</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notice_id, notice_type (PCN|PDN|EOL|LTB|Recall|Bulletin), manufacturer, issue_date, last_order_date, last_ship_date, source_doc, extraction_confidence. 1..N affected ManufacturerParts via association.</w:t>
            </w:r>
          </w:p>
        </w:tc>
      </w:tr>
      <w:tr>
        <w:tc>
          <w:tcPr>
            <w:tcW w:type="dxa" w:w="21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BOMClosure</w:t>
            </w:r>
          </w:p>
        </w:tc>
        <w:tc>
          <w:tcPr>
            <w:tcW w:type="dxa" w:w="7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ancestor_part, descendant_part, depth, cumulative_qty_per. Refreshed on PLM/ERP CDC events. Eliminates recursive queries for hot BOMs.</w:t>
            </w:r>
          </w:p>
        </w:tc>
      </w:tr>
    </w:tbl>
    <w:p>
      <w:pPr>
        <w:pStyle w:val="Heading2"/>
      </w:pPr>
      <w:r>
        <w:rPr>
          <w:rFonts w:ascii="Arial" w:cs="Arial" w:eastAsia="Arial" w:hAnsi="Arial"/>
        </w:rPr>
        <w:t xml:space="preserve">3.2 Hard pegging vs. soft pegging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Property</w:t>
            </w:r>
          </w:p>
        </w:tc>
        <w:tc>
          <w:tcPr>
            <w:tcW w:type="dxa" w:w="348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Hard peg</w:t>
            </w:r>
          </w:p>
        </w:tc>
        <w:tc>
          <w:tcPr>
            <w:tcW w:type="dxa" w:w="348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Soft peg</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Origin</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Explicit user / rule action; persisted in ERP.</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Algorithmic match by the planning system or SCM-05's ranker.</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Persistence</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Durable. Audited. Survives a replan unless explicitly broken.</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Transient. Recomputed every refresh.</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Cardinality</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M:N. One supply can satisfy many demands; one demand can pull from many supplies.</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M:N with a per-demand rank. Top-ranked soft peg is the "current" candidate.</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UX color</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Green chip; inventory is reserved.</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Amber chip; inventory is candidate, not reserved.</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scope</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Copilot answers questions about hard pegs.</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Risk Scorer ranks for hardening; Copilot answers; AI never auto-hardens.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Failure mode</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Over-allocation across programs if a planner hardens without seeing the global picture.</w:t>
            </w:r>
          </w:p>
        </w:tc>
        <w:tc>
          <w:tcPr>
            <w:tcW w:type="dxa" w:w="3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Re-ranking churn; what was the top peg last week is no longer.</w:t>
            </w:r>
          </w:p>
        </w:tc>
      </w:tr>
    </w:tbl>
    <w:p>
      <w:pPr>
        <w:pStyle w:val="Heading2"/>
      </w:pPr>
      <w:r>
        <w:rPr>
          <w:rFonts w:ascii="Arial" w:cs="Arial" w:eastAsia="Arial" w:hAnsi="Arial"/>
        </w:rPr>
        <w:t xml:space="preserve">3.3 The 15-level traversal</w:t>
      </w:r>
    </w:p>
    <w:p>
      <w:pPr>
        <w:spacing w:after="120" w:line="300"/>
      </w:pPr>
      <w:r>
        <w:rPr>
          <w:rFonts w:ascii="Arial" w:cs="Arial" w:eastAsia="Arial" w:hAnsi="Arial"/>
        </w:rPr>
        <w:t xml:space="preserve">Down traversal (BOM explosion) takes a parent part and an as-of date and produces every descendant in the BOM with its cumulative quantity-per. Up traversal (where-used / implosion) takes a leaf or intermediate part and produces every ancestor up to top-level end items. Both are bounded by the platform reality of 15-level structures.</w:t>
      </w:r>
    </w:p>
    <w:p>
      <w:pPr>
        <w:spacing w:after="120" w:line="300"/>
      </w:pPr>
      <w:r>
        <w:rPr>
          <w:rFonts w:ascii="Arial" w:cs="Arial" w:eastAsia="Arial" w:hAnsi="Arial"/>
        </w:rPr>
        <w:t xml:space="preserve">Implementation choices:</w:t>
      </w:r>
    </w:p>
    <w:p>
      <w:pPr>
        <w:pStyle w:val="ListParagraph"/>
        <w:numPr>
          <w:ilvl w:val="0"/>
          <w:numId w:val="2"/>
        </w:numPr>
        <w:spacing w:after="80" w:line="280"/>
      </w:pPr>
      <w:r>
        <w:rPr>
          <w:rFonts w:ascii="Arial" w:cs="Arial" w:eastAsia="Arial" w:hAnsi="Arial"/>
        </w:rPr>
        <w:t xml:space="preserve">Closure-table cache. The framework maintains a </w:t>
      </w:r>
      <w:r>
        <w:rPr>
          <w:rFonts w:ascii="Consolas" w:cs="Consolas" w:eastAsia="Consolas" w:hAnsi="Consolas"/>
          <w:color w:val="111827"/>
          <w:sz w:val="20"/>
          <w:szCs w:val="20"/>
        </w:rPr>
        <w:t xml:space="preserve">BOMClosure(ancestor, descendant, depth, cumulative_qty_per)</w:t>
      </w:r>
      <w:r>
        <w:rPr>
          <w:rFonts w:ascii="Arial" w:cs="Arial" w:eastAsia="Arial" w:hAnsi="Arial"/>
        </w:rPr>
        <w:t xml:space="preserve"> entity, refreshed by a CDC consumer on PLM/ERP BOM events. Look-ups are O(rows-in-closure) for a given ancestor or descendant.</w:t>
      </w:r>
    </w:p>
    <w:p>
      <w:pPr>
        <w:pStyle w:val="ListParagraph"/>
        <w:numPr>
          <w:ilvl w:val="0"/>
          <w:numId w:val="2"/>
        </w:numPr>
        <w:spacing w:after="80" w:line="280"/>
      </w:pPr>
      <w:r>
        <w:rPr>
          <w:rFonts w:ascii="Arial" w:cs="Arial" w:eastAsia="Arial" w:hAnsi="Arial"/>
        </w:rPr>
        <w:t xml:space="preserve">Lazy expansion in UI. The tree expands the first three levels on selection; deeper levels lazy-load on click to keep first-paint fast.</w:t>
      </w:r>
    </w:p>
    <w:p>
      <w:pPr>
        <w:pStyle w:val="ListParagraph"/>
        <w:numPr>
          <w:ilvl w:val="0"/>
          <w:numId w:val="2"/>
        </w:numPr>
        <w:spacing w:after="80" w:line="280"/>
      </w:pPr>
      <w:r>
        <w:rPr>
          <w:rFonts w:ascii="Arial" w:cs="Arial" w:eastAsia="Arial" w:hAnsi="Arial"/>
        </w:rPr>
        <w:t xml:space="preserve">Effectivity. Every traversal is parameterized by an as-of date; the framework joins through BOM.effectivity_from / effectivity_to.</w:t>
      </w:r>
    </w:p>
    <w:p>
      <w:pPr>
        <w:pStyle w:val="ListParagraph"/>
        <w:numPr>
          <w:ilvl w:val="0"/>
          <w:numId w:val="2"/>
        </w:numPr>
        <w:spacing w:after="80" w:line="280"/>
      </w:pPr>
      <w:r>
        <w:rPr>
          <w:rFonts w:ascii="Arial" w:cs="Arial" w:eastAsia="Arial" w:hAnsi="Arial"/>
        </w:rPr>
        <w:t xml:space="preserve">Cycles. The framework rejects BOMs that introduce a cycle on import; the closure table is populated only for acyclic structures.</w:t>
      </w:r>
    </w:p>
    <w:p>
      <w:pPr>
        <w:pStyle w:val="Heading1"/>
        <w:pageBreakBefore/>
      </w:pPr>
      <w:r>
        <w:rPr>
          <w:rFonts w:ascii="Arial" w:cs="Arial" w:eastAsia="Arial" w:hAnsi="Arial"/>
        </w:rPr>
        <w:t xml:space="preserve">4. Data Architecture</w:t>
      </w:r>
    </w:p>
    <w:p>
      <w:pPr>
        <w:pStyle w:val="Heading2"/>
      </w:pPr>
      <w:r>
        <w:rPr>
          <w:rFonts w:ascii="Arial" w:cs="Arial" w:eastAsia="Arial" w:hAnsi="Arial"/>
        </w:rPr>
        <w:t xml:space="preserve">4.1 Source of truth and the lake</w:t>
      </w:r>
    </w:p>
    <w:p>
      <w:pPr>
        <w:spacing w:after="120" w:line="300"/>
      </w:pPr>
      <w:r>
        <w:rPr>
          <w:rFonts w:ascii="Arial" w:cs="Arial" w:eastAsia="Arial" w:hAnsi="Arial"/>
        </w:rPr>
        <w:t xml:space="preserve">ERP (Oracle EBS, SAP S/4, IFS) is the system of record for parts, BOMs, work orders, POs, planned receipts, on-hand inventory, and hard pegs. MES (Apriso, Solumina, SAP DMC) emits work-order progress and on-hand changes faster than the ERP commits them. A data lake (Snowflake, Databricks) consolidates both via nightly batch loads and CDC streams. SCM-05 reads from the lake.</w:t>
      </w:r>
    </w:p>
    <w:p>
      <w:pPr>
        <w:spacing w:after="120" w:line="300"/>
      </w:pPr>
      <w:r>
        <w:rPr>
          <w:rFonts w:ascii="Arial" w:cs="Arial" w:eastAsia="Arial" w:hAnsi="Arial"/>
        </w:rPr>
        <w:t xml:space="preserve">This isolates SCM-05 from ERP version churn and gives planners a queryable surface that does not put load on the ERP. It also makes the BOMClosure cache cheap: it is materialized inside the lake and replicated to Mendix entities for low-latency UI access.</w:t>
      </w:r>
    </w:p>
    <w:p>
      <w:pPr>
        <w:pStyle w:val="Heading2"/>
      </w:pPr>
      <w:r>
        <w:rPr>
          <w:rFonts w:ascii="Arial" w:cs="Arial" w:eastAsia="Arial" w:hAnsi="Arial"/>
        </w:rPr>
        <w:t xml:space="preserve">4.2 Refresh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Domain</w:t>
            </w:r>
          </w:p>
        </w:tc>
        <w:tc>
          <w:tcPr>
            <w:tcW w:type="dxa" w:w="22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Refresh cadence</w:t>
            </w:r>
          </w:p>
        </w:tc>
        <w:tc>
          <w:tcPr>
            <w:tcW w:type="dxa" w:w="47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Mechanism</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BOMs and effectivity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change</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PLM CDC → lake → BOMClosure rebuild for affected ancestors.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Parts and AVL</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Hourly</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ERP item master snapshot; AVL deltas from supplier portals or PLM.</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 and supply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minutes</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MES + ERP CDC streams into a Kafka topic the lake materializes.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orders and demand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 minutes</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CDC pipeline.</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 pegs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change</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ERP CDC; SCM-05's hard-peg overrides round-trip through this stream.</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Soft pegs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Nightly + on demand</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Lake-side ranker job; SCM-05 reads the materialized SoftPeg table.</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PCN / EOL / LTB notices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receipt</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 / portal intake → SCM-05-PCN-EOL-LTB-Extractor → PCNNotice + ManufacturerPart join.</w:t>
            </w:r>
          </w:p>
        </w:tc>
      </w:tr>
    </w:tbl>
    <w:p>
      <w:pPr>
        <w:pStyle w:val="Heading2"/>
      </w:pPr>
      <w:r>
        <w:rPr>
          <w:rFonts w:ascii="Arial" w:cs="Arial" w:eastAsia="Arial" w:hAnsi="Arial"/>
        </w:rPr>
        <w:t xml:space="preserve">4.3 Read path</w:t>
      </w:r>
    </w:p>
    <w:p>
      <w:pPr>
        <w:spacing w:after="120" w:line="300"/>
      </w:pPr>
      <w:r>
        <w:rPr>
          <w:rFonts w:ascii="Arial" w:cs="Arial" w:eastAsia="Arial" w:hAnsi="Arial"/>
        </w:rPr>
        <w:t xml:space="preserve">The Mendix runtime queries the lake through a published REST/OData layer. Each entity (Part, BOM, Demand, Supply, etc.) has a corresponding lake view; Mendix non-persistable entities map to those views for read-only display. Persistable entities (HardPeg overrides, AI invocation audit) live in the Mendix database.</w:t>
      </w:r>
    </w:p>
    <w:p>
      <w:pPr>
        <w:pStyle w:val="Heading2"/>
      </w:pPr>
      <w:r>
        <w:rPr>
          <w:rFonts w:ascii="Arial" w:cs="Arial" w:eastAsia="Arial" w:hAnsi="Arial"/>
        </w:rPr>
        <w:t xml:space="preserve">4.4 Hard-peg write-back</w:t>
      </w:r>
    </w:p>
    <w:p>
      <w:pPr>
        <w:spacing w:after="120" w:line="300"/>
      </w:pPr>
      <w:r>
        <w:rPr>
          <w:rFonts w:ascii="Arial" w:cs="Arial" w:eastAsia="Arial" w:hAnsi="Arial"/>
        </w:rPr>
        <w:t xml:space="preserve">When a planner hardens a soft peg through SCM-05's UI, the action does not write to the lake (which is read-only). It writes to a hard-peg staging table in the ERP via a published API. The ERP picks it up on its next replan or in real time if the integration supports it. The CDC stream then propagates the resulting HardPeg back to the lake and to the SCM-05 UI — closing the loop typically within a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8EEF5" w:val="clear"/>
            <w:tcMar>
              <w:top w:type="dxa" w:w="160"/>
              <w:left w:type="dxa" w:w="240"/>
              <w:bottom w:type="dxa" w:w="160"/>
              <w:right w:type="dxa" w:w="240"/>
            </w:tcMar>
          </w:tcPr>
          <w:p>
            <w:pPr>
              <w:spacing w:after="80"/>
            </w:pPr>
            <w:r>
              <w:rPr>
                <w:rFonts w:ascii="Arial" w:cs="Arial" w:eastAsia="Arial" w:hAnsi="Arial"/>
                <w:b/>
                <w:bCs/>
                <w:color w:val="1F3A5F"/>
                <w:sz w:val="22"/>
                <w:szCs w:val="22"/>
              </w:rPr>
              <w:t xml:space="preserve">Why round-trip through ERP rather than write to the lake</w:t>
            </w:r>
          </w:p>
          <w:p>
            <w:pPr>
              <w:spacing w:after="60" w:line="280"/>
            </w:pPr>
            <w:r>
              <w:rPr>
                <w:rFonts w:ascii="Arial" w:cs="Arial" w:eastAsia="Arial" w:hAnsi="Arial"/>
                <w:sz w:val="22"/>
                <w:szCs w:val="22"/>
              </w:rPr>
              <w:t xml:space="preserve">The ERP remains the authoritative system for hard allocation. SCM-05 cannot create a hard peg the ERP doesn't know about — that would silently break MRP behavior on the next run.</w:t>
            </w:r>
          </w:p>
          <w:p>
            <w:pPr>
              <w:spacing w:after="60" w:line="280"/>
            </w:pPr>
            <w:r>
              <w:rPr>
                <w:rFonts w:ascii="Arial" w:cs="Arial" w:eastAsia="Arial" w:hAnsi="Arial"/>
                <w:sz w:val="22"/>
                <w:szCs w:val="22"/>
              </w:rPr>
              <w:t xml:space="preserve">The round trip also gates write-back through the ERP's own permission model, which is auditable in the way A&amp;D customers expect.</w:t>
            </w:r>
          </w:p>
          <w:p>
            <w:pPr>
              <w:spacing w:after="60" w:line="280"/>
            </w:pPr>
            <w:r>
              <w:rPr>
                <w:rFonts w:ascii="Arial" w:cs="Arial" w:eastAsia="Arial" w:hAnsi="Arial"/>
                <w:sz w:val="22"/>
                <w:szCs w:val="22"/>
              </w:rPr>
              <w:t xml:space="preserve">The lake is treated as an analytical mirror, not a system of record.</w:t>
            </w:r>
          </w:p>
        </w:tc>
      </w:tr>
    </w:tbl>
    <w:p>
      <w:pPr>
        <w:pStyle w:val="Heading2"/>
      </w:pPr>
      <w:r>
        <w:rPr>
          <w:rFonts w:ascii="Arial" w:cs="Arial" w:eastAsia="Arial" w:hAnsi="Arial"/>
        </w:rPr>
        <w:t xml:space="preserve">4.5 Latency budget</w:t>
      </w:r>
    </w:p>
    <w:p>
      <w:pPr>
        <w:pStyle w:val="ListParagraph"/>
        <w:numPr>
          <w:ilvl w:val="0"/>
          <w:numId w:val="2"/>
        </w:numPr>
        <w:spacing w:after="80" w:line="280"/>
      </w:pPr>
      <w:r>
        <w:rPr>
          <w:rFonts w:ascii="Arial" w:cs="Arial" w:eastAsia="Arial" w:hAnsi="Arial"/>
        </w:rPr>
        <w:t xml:space="preserve">BOM tree first paint: ≤ 800 ms for a top-level end item with the closure cache warm.</w:t>
      </w:r>
    </w:p>
    <w:p>
      <w:pPr>
        <w:pStyle w:val="ListParagraph"/>
        <w:numPr>
          <w:ilvl w:val="0"/>
          <w:numId w:val="2"/>
        </w:numPr>
        <w:spacing w:after="80" w:line="280"/>
      </w:pPr>
      <w:r>
        <w:rPr>
          <w:rFonts w:ascii="Arial" w:cs="Arial" w:eastAsia="Arial" w:hAnsi="Arial"/>
        </w:rPr>
        <w:t xml:space="preserve">Lazy-load a deeper level: ≤ 250 ms.</w:t>
      </w:r>
    </w:p>
    <w:p>
      <w:pPr>
        <w:pStyle w:val="ListParagraph"/>
        <w:numPr>
          <w:ilvl w:val="0"/>
          <w:numId w:val="2"/>
        </w:numPr>
        <w:spacing w:after="80" w:line="280"/>
      </w:pPr>
      <w:r>
        <w:rPr>
          <w:rFonts w:ascii="Arial" w:cs="Arial" w:eastAsia="Arial" w:hAnsi="Arial"/>
        </w:rPr>
        <w:t xml:space="preserve">Pegging ladder for a selected part: ≤ 500 ms.</w:t>
      </w:r>
    </w:p>
    <w:p>
      <w:pPr>
        <w:pStyle w:val="ListParagraph"/>
        <w:numPr>
          <w:ilvl w:val="0"/>
          <w:numId w:val="2"/>
        </w:numPr>
        <w:spacing w:after="80" w:line="280"/>
      </w:pPr>
      <w:r>
        <w:rPr>
          <w:rFonts w:ascii="Arial" w:cs="Arial" w:eastAsia="Arial" w:hAnsi="Arial"/>
        </w:rPr>
        <w:t xml:space="preserve">Copilot answer (excluding model latency): ≤ 1.0 s for tool dispatch and result formatting.</w:t>
      </w:r>
    </w:p>
    <w:p>
      <w:pPr>
        <w:pStyle w:val="Heading1"/>
        <w:pageBreakBefore/>
      </w:pPr>
      <w:r>
        <w:rPr>
          <w:rFonts w:ascii="Arial" w:cs="Arial" w:eastAsia="Arial" w:hAnsi="Arial"/>
        </w:rPr>
        <w:t xml:space="preserve">5. UX Patterns</w:t>
      </w:r>
    </w:p>
    <w:p>
      <w:pPr>
        <w:pStyle w:val="Heading2"/>
      </w:pPr>
      <w:r>
        <w:rPr>
          <w:rFonts w:ascii="Arial" w:cs="Arial" w:eastAsia="Arial" w:hAnsi="Arial"/>
        </w:rPr>
        <w:t xml:space="preserve">5.1 Three-pane layout</w:t>
      </w:r>
    </w:p>
    <w:p>
      <w:pPr>
        <w:spacing w:after="120" w:line="300"/>
      </w:pPr>
      <w:r>
        <w:rPr>
          <w:rFonts w:ascii="Arial" w:cs="Arial" w:eastAsia="Arial" w:hAnsi="Arial"/>
        </w:rPr>
        <w:t xml:space="preserve">The default layout is a top bar (search, breadcrumb, user role) and a three-pane body: BOM tree on the left (~360 px), part detail in the center, and a Pegging Copilot on the right (~400 px). The right pane can be collapsed for printable views and program reviews.</w:t>
      </w:r>
    </w:p>
    <w:p>
      <w:pPr>
        <w:pStyle w:val="Heading2"/>
      </w:pPr>
      <w:r>
        <w:rPr>
          <w:rFonts w:ascii="Arial" w:cs="Arial" w:eastAsia="Arial" w:hAnsi="Arial"/>
        </w:rPr>
        <w:t xml:space="preserve">5.2 BOM tree</w:t>
      </w:r>
    </w:p>
    <w:p>
      <w:pPr>
        <w:pStyle w:val="ListParagraph"/>
        <w:numPr>
          <w:ilvl w:val="0"/>
          <w:numId w:val="2"/>
        </w:numPr>
        <w:spacing w:after="80" w:line="280"/>
      </w:pPr>
      <w:r>
        <w:rPr>
          <w:rFonts w:ascii="Arial" w:cs="Arial" w:eastAsia="Arial" w:hAnsi="Arial"/>
        </w:rPr>
        <w:t xml:space="preserve">Direction toggle at the top of the tree: Down (BOM explosion) or Up (where-used).</w:t>
      </w:r>
    </w:p>
    <w:p>
      <w:pPr>
        <w:pStyle w:val="ListParagraph"/>
        <w:numPr>
          <w:ilvl w:val="0"/>
          <w:numId w:val="2"/>
        </w:numPr>
        <w:spacing w:after="80" w:line="280"/>
      </w:pPr>
      <w:r>
        <w:rPr>
          <w:rFonts w:ascii="Arial" w:cs="Arial" w:eastAsia="Arial" w:hAnsi="Arial"/>
        </w:rPr>
        <w:t xml:space="preserve">Each row shows a level pill (L0–L15), a kind icon, the part number, the nomenclature, the qty-per for that branch, and a peg dot (green / amber / red / grey for none).</w:t>
      </w:r>
    </w:p>
    <w:p>
      <w:pPr>
        <w:pStyle w:val="ListParagraph"/>
        <w:numPr>
          <w:ilvl w:val="0"/>
          <w:numId w:val="2"/>
        </w:numPr>
        <w:spacing w:after="80" w:line="280"/>
      </w:pPr>
      <w:r>
        <w:rPr>
          <w:rFonts w:ascii="Arial" w:cs="Arial" w:eastAsia="Arial" w:hAnsi="Arial"/>
        </w:rPr>
        <w:t xml:space="preserve">Default expansion: three levels. Lazy-load on caret click.</w:t>
      </w:r>
    </w:p>
    <w:p>
      <w:pPr>
        <w:pStyle w:val="ListParagraph"/>
        <w:numPr>
          <w:ilvl w:val="0"/>
          <w:numId w:val="2"/>
        </w:numPr>
        <w:spacing w:after="80" w:line="280"/>
      </w:pPr>
      <w:r>
        <w:rPr>
          <w:rFonts w:ascii="Arial" w:cs="Arial" w:eastAsia="Arial" w:hAnsi="Arial"/>
        </w:rPr>
        <w:t xml:space="preserve">A node count and depth indicator at the bottom of the panel (e.g. “4 of 5,228 nodes shown”).</w:t>
      </w:r>
    </w:p>
    <w:p>
      <w:pPr>
        <w:pStyle w:val="Heading2"/>
      </w:pPr>
      <w:r>
        <w:rPr>
          <w:rFonts w:ascii="Arial" w:cs="Arial" w:eastAsia="Arial" w:hAnsi="Arial"/>
        </w:rPr>
        <w:t xml:space="preserve">5.3 Part detail</w:t>
      </w:r>
    </w:p>
    <w:p>
      <w:pPr>
        <w:pStyle w:val="ListParagraph"/>
        <w:numPr>
          <w:ilvl w:val="0"/>
          <w:numId w:val="2"/>
        </w:numPr>
        <w:spacing w:after="80" w:line="280"/>
      </w:pPr>
      <w:r>
        <w:rPr>
          <w:rFonts w:ascii="Arial" w:cs="Arial" w:eastAsia="Arial" w:hAnsi="Arial"/>
        </w:rPr>
        <w:t xml:space="preserve">Header: part number (monospace), nomenclature, badges for KC, ITAR/USML, EOL, single-source, lead time. A meta grid shows manufacturer P/N, AVL, on-hand, open commitments, where-used count, next dock, last PCN, and pegging confidence.</w:t>
      </w:r>
    </w:p>
    <w:p>
      <w:pPr>
        <w:pStyle w:val="ListParagraph"/>
        <w:numPr>
          <w:ilvl w:val="0"/>
          <w:numId w:val="2"/>
        </w:numPr>
        <w:spacing w:after="80" w:line="280"/>
      </w:pPr>
      <w:r>
        <w:rPr>
          <w:rFonts w:ascii="Arial" w:cs="Arial" w:eastAsia="Arial" w:hAnsi="Arial"/>
        </w:rPr>
        <w:t xml:space="preserve">Tabs: Pegging | Demand &amp; Supply | Where used (up) | PCN / EOL history | Audit log.</w:t>
      </w:r>
    </w:p>
    <w:p>
      <w:pPr>
        <w:pStyle w:val="ListParagraph"/>
        <w:numPr>
          <w:ilvl w:val="0"/>
          <w:numId w:val="2"/>
        </w:numPr>
        <w:spacing w:after="80" w:line="280"/>
      </w:pPr>
      <w:r>
        <w:rPr>
          <w:rFonts w:ascii="Arial" w:cs="Arial" w:eastAsia="Arial" w:hAnsi="Arial"/>
        </w:rPr>
        <w:t xml:space="preserve">Pegging tab is the primary view. It shows a 12-week time-phased ladder (Demand, Supply, Hard pegs, Soft pegs, Gap), then a list of active pegs with chips and per-row actions (View source, Override, Harden, Expedite, Alt MPN).</w:t>
      </w:r>
    </w:p>
    <w:p>
      <w:pPr>
        <w:pStyle w:val="ListParagraph"/>
        <w:numPr>
          <w:ilvl w:val="0"/>
          <w:numId w:val="2"/>
        </w:numPr>
        <w:spacing w:after="80" w:line="280"/>
      </w:pPr>
      <w:r>
        <w:rPr>
          <w:rFonts w:ascii="Arial" w:cs="Arial" w:eastAsia="Arial" w:hAnsi="Arial"/>
        </w:rPr>
        <w:t xml:space="preserve">All actions are confirmations — the UI shows what would change before it asks for sign-off.</w:t>
      </w:r>
    </w:p>
    <w:p>
      <w:pPr>
        <w:pStyle w:val="Heading2"/>
      </w:pPr>
      <w:r>
        <w:rPr>
          <w:rFonts w:ascii="Arial" w:cs="Arial" w:eastAsia="Arial" w:hAnsi="Arial"/>
        </w:rPr>
        <w:t xml:space="preserve">5.4 Pegging Copilot side panel</w:t>
      </w:r>
    </w:p>
    <w:p>
      <w:pPr>
        <w:pStyle w:val="ListParagraph"/>
        <w:numPr>
          <w:ilvl w:val="0"/>
          <w:numId w:val="2"/>
        </w:numPr>
        <w:spacing w:after="80" w:line="280"/>
      </w:pPr>
      <w:r>
        <w:rPr>
          <w:rFonts w:ascii="Arial" w:cs="Arial" w:eastAsia="Arial" w:hAnsi="Arial"/>
        </w:rPr>
        <w:t xml:space="preserve">Conversation thread anchored to the active part / WO / program. Citations render as clickable chips that scroll the appropriate entity into view.</w:t>
      </w:r>
    </w:p>
    <w:p>
      <w:pPr>
        <w:pStyle w:val="ListParagraph"/>
        <w:numPr>
          <w:ilvl w:val="0"/>
          <w:numId w:val="2"/>
        </w:numPr>
        <w:spacing w:after="80" w:line="280"/>
      </w:pPr>
      <w:r>
        <w:rPr>
          <w:rFonts w:ascii="Arial" w:cs="Arial" w:eastAsia="Arial" w:hAnsi="Arial"/>
        </w:rPr>
        <w:t xml:space="preserve">Suggested questions seeded from the current selection (e.g. “What slips if PR-44021 is canceled?” when a PR is selected).</w:t>
      </w:r>
    </w:p>
    <w:p>
      <w:pPr>
        <w:pStyle w:val="ListParagraph"/>
        <w:numPr>
          <w:ilvl w:val="0"/>
          <w:numId w:val="2"/>
        </w:numPr>
        <w:spacing w:after="80" w:line="280"/>
      </w:pPr>
      <w:r>
        <w:rPr>
          <w:rFonts w:ascii="Arial" w:cs="Arial" w:eastAsia="Arial" w:hAnsi="Arial"/>
        </w:rPr>
        <w:t xml:space="preserve">Below the conversation, a Risk Triage strip lists the top three soft pegs the nightly Risk Scorer recommends hardening, with one-click “Harden” that opens the standard approval flow.</w:t>
      </w:r>
    </w:p>
    <w:p>
      <w:pPr>
        <w:pStyle w:val="Heading2"/>
      </w:pPr>
      <w:r>
        <w:rPr>
          <w:rFonts w:ascii="Arial" w:cs="Arial" w:eastAsia="Arial" w:hAnsi="Arial"/>
        </w:rPr>
        <w:t xml:space="preserve">5.5 Color and badge conventions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Color</w:t>
            </w:r>
          </w:p>
        </w:tc>
        <w:tc>
          <w:tcPr>
            <w:tcW w:type="dxa" w:w="78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Meaning</w:t>
            </w:r>
          </w:p>
        </w:tc>
      </w:tr>
      <w:tr>
        <w:tc>
          <w:tcPr>
            <w:tcW w:type="dxa" w:w="1500"/>
            <w:tcBorders>
              <w:top w:val="single" w:color="D1D5DB" w:sz="4"/>
              <w:left w:val="single" w:color="D1D5DB" w:sz="4"/>
              <w:bottom w:val="single" w:color="D1D5DB" w:sz="4"/>
              <w:right w:val="single" w:color="D1D5DB" w:sz="4"/>
            </w:tcBorders>
            <w:shd w:fill="10B98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Green</w:t>
            </w:r>
          </w:p>
        </w:tc>
        <w:tc>
          <w:tcPr>
            <w:tcW w:type="dxa" w:w="7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Hard peg / supply covered. Inventory is reserved against this demand.</w:t>
            </w:r>
          </w:p>
        </w:tc>
      </w:tr>
      <w:tr>
        <w:tc>
          <w:tcPr>
            <w:tcW w:type="dxa" w:w="1500"/>
            <w:tcBorders>
              <w:top w:val="single" w:color="D1D5DB" w:sz="4"/>
              <w:left w:val="single" w:color="D1D5DB" w:sz="4"/>
              <w:bottom w:val="single" w:color="D1D5DB" w:sz="4"/>
              <w:right w:val="single" w:color="D1D5DB" w:sz="4"/>
            </w:tcBorders>
            <w:shd w:fill="F59E0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Amber</w:t>
            </w:r>
          </w:p>
        </w:tc>
        <w:tc>
          <w:tcPr>
            <w:tcW w:type="dxa" w:w="7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peg / candidate match. Subject to re-rank on next refresh.</w:t>
            </w:r>
          </w:p>
        </w:tc>
      </w:tr>
      <w:tr>
        <w:tc>
          <w:tcPr>
            <w:tcW w:type="dxa" w:w="1500"/>
            <w:tcBorders>
              <w:top w:val="single" w:color="D1D5DB" w:sz="4"/>
              <w:left w:val="single" w:color="D1D5DB" w:sz="4"/>
              <w:bottom w:val="single" w:color="D1D5DB" w:sz="4"/>
              <w:right w:val="single" w:color="D1D5DB" w:sz="4"/>
            </w:tcBorders>
            <w:shd w:fill="EF444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Red</w:t>
            </w:r>
          </w:p>
        </w:tc>
        <w:tc>
          <w:tcPr>
            <w:tcW w:type="dxa" w:w="7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Gap. Demand exists with no supply. Action required.</w:t>
            </w:r>
          </w:p>
        </w:tc>
      </w:tr>
      <w:tr>
        <w:tc>
          <w:tcPr>
            <w:tcW w:type="dxa" w:w="1500"/>
            <w:tcBorders>
              <w:top w:val="single" w:color="D1D5DB" w:sz="4"/>
              <w:left w:val="single" w:color="D1D5DB" w:sz="4"/>
              <w:bottom w:val="single" w:color="D1D5DB" w:sz="4"/>
              <w:right w:val="single" w:color="D1D5DB" w:sz="4"/>
            </w:tcBorders>
            <w:shd w:fill="CBD5E1"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Grey</w:t>
            </w:r>
          </w:p>
        </w:tc>
        <w:tc>
          <w:tcPr>
            <w:tcW w:type="dxa" w:w="78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demand or no peg state to display.</w:t>
            </w:r>
          </w:p>
        </w:tc>
      </w:tr>
    </w:tbl>
    <w:p>
      <w:pPr>
        <w:pStyle w:val="Heading1"/>
        <w:pageBreakBefore/>
      </w:pPr>
      <w:r>
        <w:rPr>
          <w:rFonts w:ascii="Arial" w:cs="Arial" w:eastAsia="Arial" w:hAnsi="Arial"/>
        </w:rPr>
        <w:t xml:space="preserve">6. AI Workflows</w:t>
      </w:r>
    </w:p>
    <w:p>
      <w:pPr>
        <w:spacing w:after="120" w:line="300"/>
      </w:pPr>
      <w:r>
        <w:rPr>
          <w:rFonts w:ascii="Arial" w:cs="Arial" w:eastAsia="Arial" w:hAnsi="Arial"/>
        </w:rPr>
        <w:t xml:space="preserve">All three SCM-05 AI workflows ride on the AI Interaction Framework. Each is implemented by a versioned PromptTemplate, governed under the framework's Draft → InReview → Published → Deprecated lifecycle, and audited via ExtractionInvocation / Citation entities. The framework enforces ITAR-tier routing on every invocation.</w:t>
      </w:r>
    </w:p>
    <w:p>
      <w:pPr>
        <w:pStyle w:val="Heading2"/>
      </w:pPr>
      <w:r>
        <w:rPr>
          <w:rFonts w:ascii="Arial" w:cs="Arial" w:eastAsia="Arial" w:hAnsi="Arial"/>
        </w:rPr>
        <w:t xml:space="preserve">6.1 PCN / EOL / LTB intake — Document-Extract</w:t>
      </w:r>
    </w:p>
    <w:p>
      <w:pPr>
        <w:spacing w:after="120" w:line="300"/>
      </w:pPr>
      <w:r>
        <w:rPr>
          <w:rFonts w:ascii="Arial" w:cs="Arial" w:eastAsia="Arial" w:hAnsi="Arial"/>
        </w:rPr>
        <w:t xml:space="preserve">Template: </w:t>
      </w:r>
      <w:r>
        <w:rPr>
          <w:rFonts w:ascii="Consolas" w:cs="Consolas" w:eastAsia="Consolas" w:hAnsi="Consolas"/>
          <w:color w:val="111827"/>
          <w:sz w:val="20"/>
          <w:szCs w:val="20"/>
        </w:rPr>
        <w:t xml:space="preserve">SCM-05-PCN-EOL-LTB-Extractor v1.0.0</w:t>
      </w:r>
      <w:r>
        <w:rPr>
          <w:rFonts w:ascii="Arial" w:cs="Arial" w:eastAsia="Arial" w:hAnsi="Arial"/>
        </w:rPr>
        <w:t xml:space="preserve">. Primitive: Document-Extract (Wave 1). Status: Draft, ready to ship in Wave 2 alongside SCM-05.</w:t>
      </w:r>
    </w:p>
    <w:p>
      <w:pPr>
        <w:spacing w:after="120" w:line="300"/>
      </w:pPr>
      <w:r>
        <w:rPr>
          <w:rFonts w:ascii="Arial" w:cs="Arial" w:eastAsia="Arial" w:hAnsi="Arial"/>
        </w:rPr>
        <w:t xml:space="preserve">Trigger: a notice arrives via supplier email forwarding rule, distributor portal pull, or SiliconExpert / SmartPCN feed. The framework routes the source document through the template, validates the JSON output against the schema, and persists a PCNNotice plus ManufacturerPart association rows.</w:t>
      </w:r>
    </w:p>
    <w:p>
      <w:pPr>
        <w:spacing w:after="120" w:line="300"/>
      </w:pPr>
      <w:r>
        <w:rPr>
          <w:rFonts w:ascii="Arial" w:cs="Arial" w:eastAsia="Arial" w:hAnsi="Arial"/>
        </w:rPr>
        <w:t xml:space="preserve">The downstream effect is an impact preview in SCM-05: the Component Engineer sees, within minutes, every BOM that contains an affected MPN, every active demand, and the current pegging state. The preview is read-only; engineering acceptance of the change is a separate workflow.</w:t>
      </w:r>
    </w:p>
    <w:p>
      <w:pPr>
        <w:pStyle w:val="Heading2"/>
      </w:pPr>
      <w:r>
        <w:rPr>
          <w:rFonts w:ascii="Arial" w:cs="Arial" w:eastAsia="Arial" w:hAnsi="Arial"/>
        </w:rPr>
        <w:t xml:space="preserve">6.2 Pegging Copilot — Guided Copilot</w:t>
      </w:r>
    </w:p>
    <w:p>
      <w:pPr>
        <w:spacing w:after="120" w:line="300"/>
      </w:pPr>
      <w:r>
        <w:rPr>
          <w:rFonts w:ascii="Arial" w:cs="Arial" w:eastAsia="Arial" w:hAnsi="Arial"/>
        </w:rPr>
        <w:t xml:space="preserve">Template: </w:t>
      </w:r>
      <w:r>
        <w:rPr>
          <w:rFonts w:ascii="Consolas" w:cs="Consolas" w:eastAsia="Consolas" w:hAnsi="Consolas"/>
          <w:color w:val="111827"/>
          <w:sz w:val="20"/>
          <w:szCs w:val="20"/>
        </w:rPr>
        <w:t xml:space="preserve">SCM-05-Pegging-Copilot v0.1.0-stub</w:t>
      </w:r>
      <w:r>
        <w:rPr>
          <w:rFonts w:ascii="Arial" w:cs="Arial" w:eastAsia="Arial" w:hAnsi="Arial"/>
        </w:rPr>
        <w:t xml:space="preserve">. Primitive: Guided Copilot (Wave 2 — not yet formalized). Status: stub.</w:t>
      </w:r>
    </w:p>
    <w:p>
      <w:pPr>
        <w:spacing w:after="120" w:line="300"/>
      </w:pPr>
      <w:r>
        <w:rPr>
          <w:rFonts w:ascii="Arial" w:cs="Arial" w:eastAsia="Arial" w:hAnsi="Arial"/>
        </w:rPr>
        <w:t xml:space="preserve">The copilot is a typed-tool-calling agent. It does not see the document body of the user's question alone; it sees a small, audited tool surface that wraps the pegging graph:</w:t>
      </w:r>
    </w:p>
    <w:p>
      <w:pPr>
        <w:spacing w:after="120"/>
      </w:pPr>
      <w:r>
        <w:t xml:space="preserve"/>
      </w:r>
    </w:p>
    <w:p>
      <w:pPr>
        <w:shd w:fill="F3F4F6" w:val="clear"/>
        <w:spacing w:after="0" w:line="240"/>
        <w:ind w:left="200"/>
      </w:pPr>
      <w:r>
        <w:rPr>
          <w:rFonts w:ascii="Consolas" w:cs="Consolas" w:eastAsia="Consolas" w:hAnsi="Consolas"/>
          <w:sz w:val="18"/>
          <w:szCs w:val="18"/>
        </w:rPr>
        <w:t xml:space="preserve">where_used(part_id_or_mpn, as_of_date, include_obsolete_revisions) -&gt; WhereUsedRow[]</w:t>
      </w:r>
    </w:p>
    <w:p>
      <w:pPr>
        <w:shd w:fill="F3F4F6" w:val="clear"/>
        <w:spacing w:after="0" w:line="240"/>
        <w:ind w:left="200"/>
      </w:pPr>
      <w:r>
        <w:rPr>
          <w:rFonts w:ascii="Consolas" w:cs="Consolas" w:eastAsia="Consolas" w:hAnsi="Consolas"/>
          <w:sz w:val="18"/>
          <w:szCs w:val="18"/>
        </w:rPr>
        <w:t xml:space="preserve">explode_bom(parent_part_id, as_of_date, effectivity_filter) -&gt; BomLineRow[]</w:t>
      </w:r>
    </w:p>
    <w:p>
      <w:pPr>
        <w:shd w:fill="F3F4F6" w:val="clear"/>
        <w:spacing w:after="0" w:line="240"/>
        <w:ind w:left="200"/>
      </w:pPr>
      <w:r>
        <w:rPr>
          <w:rFonts w:ascii="Consolas" w:cs="Consolas" w:eastAsia="Consolas" w:hAnsi="Consolas"/>
          <w:sz w:val="18"/>
          <w:szCs w:val="18"/>
        </w:rPr>
        <w:t xml:space="preserve">pegs_for_part(part_id_or_mpn, from_date, to_date, include_closed) -&gt; Hard|SoftPeg[]</w:t>
      </w:r>
    </w:p>
    <w:p>
      <w:pPr>
        <w:shd w:fill="F3F4F6" w:val="clear"/>
        <w:spacing w:after="0" w:line="240"/>
        <w:ind w:left="200"/>
      </w:pPr>
      <w:r>
        <w:rPr>
          <w:rFonts w:ascii="Consolas" w:cs="Consolas" w:eastAsia="Consolas" w:hAnsi="Consolas"/>
          <w:sz w:val="18"/>
          <w:szCs w:val="18"/>
        </w:rPr>
        <w:t xml:space="preserve">what_if_supply_slip(supply_transaction_id, delta_weeks) -&gt; ImpactRow[]</w:t>
      </w:r>
    </w:p>
    <w:p>
      <w:pPr>
        <w:shd w:fill="F3F4F6" w:val="clear"/>
        <w:spacing w:after="0" w:line="240"/>
        <w:ind w:left="200"/>
      </w:pPr>
      <w:r>
        <w:rPr>
          <w:rFonts w:ascii="Consolas" w:cs="Consolas" w:eastAsia="Consolas" w:hAnsi="Consolas"/>
          <w:sz w:val="18"/>
          <w:szCs w:val="18"/>
        </w:rPr>
        <w:t xml:space="preserve">open_pcn_impact(pcn_extraction_id) -&gt; PcnImpactRow[]</w:t>
      </w:r>
    </w:p>
    <w:p>
      <w:pPr>
        <w:spacing w:after="120"/>
      </w:pPr>
      <w:r>
        <w:t xml:space="preserve"/>
      </w:r>
    </w:p>
    <w:p>
      <w:pPr>
        <w:spacing w:after="120" w:line="300"/>
      </w:pPr>
      <w:r>
        <w:rPr>
          <w:rFonts w:ascii="Arial" w:cs="Arial" w:eastAsia="Arial" w:hAnsi="Arial"/>
        </w:rPr>
        <w:t xml:space="preserve">Every fact in the answer cites the entity IDs the tools returned. The framework's RefuseIfUngrounded guardrail rejects any answer that introduces a fact not traceable to a tool result. The role-scope guardrail blocks queries about programs the user is not cleared for.</w:t>
      </w:r>
    </w:p>
    <w:p>
      <w:pPr>
        <w:pStyle w:val="Heading2"/>
      </w:pPr>
      <w:r>
        <w:rPr>
          <w:rFonts w:ascii="Arial" w:cs="Arial" w:eastAsia="Arial" w:hAnsi="Arial"/>
        </w:rPr>
        <w:t xml:space="preserve">6.3 Pegging Risk Scorer — Decision Support &amp; Triage</w:t>
      </w:r>
    </w:p>
    <w:p>
      <w:pPr>
        <w:spacing w:after="120" w:line="300"/>
      </w:pPr>
      <w:r>
        <w:rPr>
          <w:rFonts w:ascii="Arial" w:cs="Arial" w:eastAsia="Arial" w:hAnsi="Arial"/>
        </w:rPr>
        <w:t xml:space="preserve">Template: </w:t>
      </w:r>
      <w:r>
        <w:rPr>
          <w:rFonts w:ascii="Consolas" w:cs="Consolas" w:eastAsia="Consolas" w:hAnsi="Consolas"/>
          <w:color w:val="111827"/>
          <w:sz w:val="20"/>
          <w:szCs w:val="20"/>
        </w:rPr>
        <w:t xml:space="preserve">SCM-05-Pegging-Risk-Scorer v0.1.0-stub</w:t>
      </w:r>
      <w:r>
        <w:rPr>
          <w:rFonts w:ascii="Arial" w:cs="Arial" w:eastAsia="Arial" w:hAnsi="Arial"/>
        </w:rPr>
        <w:t xml:space="preserve">. Primitive: Decision Support &amp; Triage (Wave 3 — not yet formalized). Status: stub.</w:t>
      </w:r>
    </w:p>
    <w:p>
      <w:pPr>
        <w:spacing w:after="120" w:line="300"/>
      </w:pPr>
      <w:r>
        <w:rPr>
          <w:rFonts w:ascii="Arial" w:cs="Arial" w:eastAsia="Arial" w:hAnsi="Arial"/>
        </w:rPr>
        <w:t xml:space="preserve">Runs nightly over open soft pegs in scope. For each peg it produces a 0–100 risk score using a weighted rubric: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Factor</w:t>
            </w:r>
          </w:p>
        </w:tc>
        <w:tc>
          <w:tcPr>
            <w:tcW w:type="dxa" w:w="12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Weight</w:t>
            </w:r>
          </w:p>
        </w:tc>
        <w:tc>
          <w:tcPr>
            <w:tcW w:type="dxa" w:w="47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Drivers</w:t>
            </w:r>
          </w:p>
        </w:tc>
      </w:tr>
      <w:tr>
        <w:tc>
          <w:tcPr>
            <w:tcW w:type="dxa" w:w="3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Obsolescence pressure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 PCN/EOL/LTB; LTB window remaining.</w:t>
            </w:r>
          </w:p>
        </w:tc>
      </w:tr>
      <w:tr>
        <w:tc>
          <w:tcPr>
            <w:tcW w:type="dxa" w:w="3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Supplier risk</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SCM-01 supplier risk score; single- vs dual-source.</w:t>
            </w:r>
          </w:p>
        </w:tc>
      </w:tr>
      <w:tr>
        <w:tc>
          <w:tcPr>
            <w:tcW w:type="dxa" w:w="3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Lead-time exposure</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Std lead time; current open lead-time variance.</w:t>
            </w:r>
          </w:p>
        </w:tc>
      </w:tr>
      <w:tr>
        <w:tc>
          <w:tcPr>
            <w:tcW w:type="dxa" w:w="3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Schedule criticality</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25</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Program priority; weeks-to-need-by; is_safety_of_flight.</w:t>
            </w:r>
          </w:p>
        </w:tc>
      </w:tr>
      <w:tr>
        <w:tc>
          <w:tcPr>
            <w:tcW w:type="dxa" w:w="3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Soft-peg volatility</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Rank changes in last 30 days; competing demand count.</w:t>
            </w:r>
          </w:p>
        </w:tc>
      </w:tr>
    </w:tbl>
    <w:p>
      <w:pPr>
        <w:spacing w:after="120"/>
      </w:pPr>
      <w:r>
        <w:t xml:space="preserve"/>
      </w:r>
    </w:p>
    <w:p>
      <w:pPr>
        <w:spacing w:after="120" w:line="300"/>
      </w:pPr>
      <w:r>
        <w:rPr>
          <w:rFonts w:ascii="Arial" w:cs="Arial" w:eastAsia="Arial" w:hAnsi="Arial"/>
        </w:rPr>
        <w:t xml:space="preserve">The output is a ranked list with factor attribution and a recommended action (Harden, Expedite, AltMPN, AltSource, BookLastTimeBuy, NoAction, RouteToReview). The framework records the recommendation; nothing executes without a planner approving it. If the affected end item is safety-of-flight, the recommendation floor is RouteToReview — the model cannot recommend NoAction.</w:t>
      </w:r>
    </w:p>
    <w:p>
      <w:pPr>
        <w:pStyle w:val="Heading1"/>
        <w:pageBreakBefore/>
      </w:pPr>
      <w:r>
        <w:rPr>
          <w:rFonts w:ascii="Arial" w:cs="Arial" w:eastAsia="Arial" w:hAnsi="Arial"/>
        </w:rPr>
        <w:t xml:space="preserve">7. Governance &amp; Compliance</w:t>
      </w:r>
    </w:p>
    <w:p>
      <w:pPr>
        <w:pStyle w:val="Heading2"/>
      </w:pPr>
      <w:r>
        <w:rPr>
          <w:rFonts w:ascii="Arial" w:cs="Arial" w:eastAsia="Arial" w:hAnsi="Arial"/>
        </w:rPr>
        <w:t xml:space="preserve">7.1 Data sensitivity</w:t>
      </w:r>
    </w:p>
    <w:p>
      <w:pPr>
        <w:spacing w:after="120" w:line="300"/>
      </w:pPr>
      <w:r>
        <w:rPr>
          <w:rFonts w:ascii="Arial" w:cs="Arial" w:eastAsia="Arial" w:hAnsi="Arial"/>
        </w:rPr>
        <w:t xml:space="preserve">All SCM-05 templates are DataSensitivityTier = ITAR. The framework's DataClassificationRoute guardrail restricts execution to Bedrock_Claude (in a GovCloud account) or OnPremGateway. Public-cloud OpenAI and Vertex backends are blocked at the framework layer.</w:t>
      </w:r>
    </w:p>
    <w:p>
      <w:pPr>
        <w:pStyle w:val="Heading2"/>
      </w:pPr>
      <w:r>
        <w:rPr>
          <w:rFonts w:ascii="Arial" w:cs="Arial" w:eastAsia="Arial" w:hAnsi="Arial"/>
        </w:rPr>
        <w:t xml:space="preserve">7.2 Role scoping</w:t>
      </w:r>
    </w:p>
    <w:p>
      <w:pPr>
        <w:spacing w:after="120" w:line="300"/>
      </w:pPr>
      <w:r>
        <w:rPr>
          <w:rFonts w:ascii="Arial" w:cs="Arial" w:eastAsia="Arial" w:hAnsi="Arial"/>
        </w:rPr>
        <w:t xml:space="preserve">Every read against the lake passes through a per-user role-scope filter that intersects (a) the user's program clearances, (b) the user's role permissions (read / harden / approve), and (c) the as-of date. Programs the user is not cleared for are invisible — not just unselectable. The Copilot refuses any question that references a program outside the user's scope and emits a refusal_reason.</w:t>
      </w:r>
    </w:p>
    <w:p>
      <w:pPr>
        <w:pStyle w:val="Heading2"/>
      </w:pPr>
      <w:r>
        <w:rPr>
          <w:rFonts w:ascii="Arial" w:cs="Arial" w:eastAsia="Arial" w:hAnsi="Arial"/>
        </w:rPr>
        <w:t xml:space="preserve">7.3 Hard-peg write-back approval</w:t>
      </w:r>
    </w:p>
    <w:p>
      <w:pPr>
        <w:spacing w:after="120" w:line="300"/>
      </w:pPr>
      <w:r>
        <w:rPr>
          <w:rFonts w:ascii="Arial" w:cs="Arial" w:eastAsia="Arial" w:hAnsi="Arial"/>
        </w:rPr>
        <w:t xml:space="preserve">A hard-peg write requires a named approver. The default flow is two-step: the planner proposes the harden, the Materials Manager approves. The framework records both signatures, the prior soft-peg ranker output, the SCM-05 user-action audit row, and the ERP confirmation.</w:t>
      </w:r>
    </w:p>
    <w:p>
      <w:pPr>
        <w:pStyle w:val="Heading2"/>
      </w:pPr>
      <w:r>
        <w:rPr>
          <w:rFonts w:ascii="Arial" w:cs="Arial" w:eastAsia="Arial" w:hAnsi="Arial"/>
        </w:rPr>
        <w:t xml:space="preserve">7.4 Audit</w:t>
      </w:r>
    </w:p>
    <w:p>
      <w:pPr>
        <w:pStyle w:val="ListParagraph"/>
        <w:numPr>
          <w:ilvl w:val="0"/>
          <w:numId w:val="2"/>
        </w:numPr>
        <w:spacing w:after="80" w:line="280"/>
      </w:pPr>
      <w:r>
        <w:rPr>
          <w:rFonts w:ascii="Arial" w:cs="Arial" w:eastAsia="Arial" w:hAnsi="Arial"/>
        </w:rPr>
        <w:t xml:space="preserve">Every AI invocation is recorded as an ExtractionInvocation row with rendered prompts, completion, model, backend, tokens, latency, status, and confidence.</w:t>
      </w:r>
    </w:p>
    <w:p>
      <w:pPr>
        <w:pStyle w:val="ListParagraph"/>
        <w:numPr>
          <w:ilvl w:val="0"/>
          <w:numId w:val="2"/>
        </w:numPr>
        <w:spacing w:after="80" w:line="280"/>
      </w:pPr>
      <w:r>
        <w:rPr>
          <w:rFonts w:ascii="Arial" w:cs="Arial" w:eastAsia="Arial" w:hAnsi="Arial"/>
        </w:rPr>
        <w:t xml:space="preserve">Every Copilot answer's tool invocations and their returned IDs are persisted alongside the conversation turn so a reviewer in 2030 can re-execute the same tools and verify the answer.</w:t>
      </w:r>
    </w:p>
    <w:p>
      <w:pPr>
        <w:pStyle w:val="ListParagraph"/>
        <w:numPr>
          <w:ilvl w:val="0"/>
          <w:numId w:val="2"/>
        </w:numPr>
        <w:spacing w:after="80" w:line="280"/>
      </w:pPr>
      <w:r>
        <w:rPr>
          <w:rFonts w:ascii="Arial" w:cs="Arial" w:eastAsia="Arial" w:hAnsi="Arial"/>
        </w:rPr>
        <w:t xml:space="preserve">Every hard-peg override carries the planner, approver, prior soft-peg state, and the timestamp of the ERP write-back.</w:t>
      </w:r>
    </w:p>
    <w:p>
      <w:pPr>
        <w:pStyle w:val="ListParagraph"/>
        <w:numPr>
          <w:ilvl w:val="0"/>
          <w:numId w:val="2"/>
        </w:numPr>
        <w:spacing w:after="80" w:line="280"/>
      </w:pPr>
      <w:r>
        <w:rPr>
          <w:rFonts w:ascii="Arial" w:cs="Arial" w:eastAsia="Arial" w:hAnsi="Arial"/>
        </w:rPr>
        <w:t xml:space="preserve">Retention: ITAR-tier defaults to 7 years (program life + 2).</w:t>
      </w:r>
    </w:p>
    <w:p>
      <w:pPr>
        <w:pStyle w:val="Heading2"/>
      </w:pPr>
      <w:r>
        <w:rPr>
          <w:rFonts w:ascii="Arial" w:cs="Arial" w:eastAsia="Arial" w:hAnsi="Arial"/>
        </w:rPr>
        <w:t xml:space="preserve">7.5 What the AI never does</w:t>
      </w:r>
    </w:p>
    <w:p>
      <w:pPr>
        <w:pStyle w:val="ListParagraph"/>
        <w:numPr>
          <w:ilvl w:val="0"/>
          <w:numId w:val="2"/>
        </w:numPr>
        <w:spacing w:after="80" w:line="280"/>
      </w:pPr>
      <w:r>
        <w:rPr>
          <w:rFonts w:ascii="Arial" w:cs="Arial" w:eastAsia="Arial" w:hAnsi="Arial"/>
        </w:rPr>
        <w:t xml:space="preserve">Never autonomously hardens a peg.</w:t>
      </w:r>
    </w:p>
    <w:p>
      <w:pPr>
        <w:pStyle w:val="ListParagraph"/>
        <w:numPr>
          <w:ilvl w:val="0"/>
          <w:numId w:val="2"/>
        </w:numPr>
        <w:spacing w:after="80" w:line="280"/>
      </w:pPr>
      <w:r>
        <w:rPr>
          <w:rFonts w:ascii="Arial" w:cs="Arial" w:eastAsia="Arial" w:hAnsi="Arial"/>
        </w:rPr>
        <w:t xml:space="preserve">Never autonomously expedites a PO or cancels a planned receipt.</w:t>
      </w:r>
    </w:p>
    <w:p>
      <w:pPr>
        <w:pStyle w:val="ListParagraph"/>
        <w:numPr>
          <w:ilvl w:val="0"/>
          <w:numId w:val="2"/>
        </w:numPr>
        <w:spacing w:after="80" w:line="280"/>
      </w:pPr>
      <w:r>
        <w:rPr>
          <w:rFonts w:ascii="Arial" w:cs="Arial" w:eastAsia="Arial" w:hAnsi="Arial"/>
        </w:rPr>
        <w:t xml:space="preserve">Never recommends NoAction on a safety-of-flight end item.</w:t>
      </w:r>
    </w:p>
    <w:p>
      <w:pPr>
        <w:pStyle w:val="ListParagraph"/>
        <w:numPr>
          <w:ilvl w:val="0"/>
          <w:numId w:val="2"/>
        </w:numPr>
        <w:spacing w:after="80" w:line="280"/>
      </w:pPr>
      <w:r>
        <w:rPr>
          <w:rFonts w:ascii="Arial" w:cs="Arial" w:eastAsia="Arial" w:hAnsi="Arial"/>
        </w:rPr>
        <w:t xml:space="preserve">Never returns a fact that did not come from a tool invocation or an extracted citation.</w:t>
      </w:r>
    </w:p>
    <w:p>
      <w:pPr>
        <w:pStyle w:val="Heading1"/>
        <w:pageBreakBefore/>
      </w:pPr>
      <w:r>
        <w:rPr>
          <w:rFonts w:ascii="Arial" w:cs="Arial" w:eastAsia="Arial" w:hAnsi="Arial"/>
        </w:rPr>
        <w:t xml:space="preserve">8. Roadmap</w:t>
      </w:r>
    </w:p>
    <w:p>
      <w:pPr>
        <w:pStyle w:val="Heading2"/>
      </w:pPr>
      <w:r>
        <w:rPr>
          <w:rFonts w:ascii="Arial" w:cs="Arial" w:eastAsia="Arial" w:hAnsi="Arial"/>
        </w:rPr>
        <w:t xml:space="preserve">8.1 Wave 2 — Initial release</w:t>
      </w:r>
    </w:p>
    <w:p>
      <w:pPr>
        <w:pStyle w:val="ListParagraph"/>
        <w:numPr>
          <w:ilvl w:val="0"/>
          <w:numId w:val="2"/>
        </w:numPr>
        <w:spacing w:after="80" w:line="280"/>
      </w:pPr>
      <w:r>
        <w:rPr>
          <w:rFonts w:ascii="Arial" w:cs="Arial" w:eastAsia="Arial" w:hAnsi="Arial"/>
        </w:rPr>
        <w:t xml:space="preserve">Mendix module v1.0.0 with the full read-mostly explorer, hard-peg write-back, and PCN intake.</w:t>
      </w:r>
    </w:p>
    <w:p>
      <w:pPr>
        <w:pStyle w:val="ListParagraph"/>
        <w:numPr>
          <w:ilvl w:val="0"/>
          <w:numId w:val="2"/>
        </w:numPr>
        <w:spacing w:after="80" w:line="280"/>
      </w:pPr>
      <w:r>
        <w:rPr>
          <w:rFonts w:ascii="Arial" w:cs="Arial" w:eastAsia="Arial" w:hAnsi="Arial"/>
        </w:rPr>
        <w:t xml:space="preserve">SCM-05-PCN-EOL-LTB-Extractor template published (Document-Extract is already a formalized primitive).</w:t>
      </w:r>
    </w:p>
    <w:p>
      <w:pPr>
        <w:pStyle w:val="ListParagraph"/>
        <w:numPr>
          <w:ilvl w:val="0"/>
          <w:numId w:val="2"/>
        </w:numPr>
        <w:spacing w:after="80" w:line="280"/>
      </w:pPr>
      <w:r>
        <w:rPr>
          <w:rFonts w:ascii="Arial" w:cs="Arial" w:eastAsia="Arial" w:hAnsi="Arial"/>
        </w:rPr>
        <w:t xml:space="preserve">SCM-05-Pegging-Copilot template published as soon as the Guided Copilot primitive ships.</w:t>
      </w:r>
    </w:p>
    <w:p>
      <w:pPr>
        <w:pStyle w:val="ListParagraph"/>
        <w:numPr>
          <w:ilvl w:val="0"/>
          <w:numId w:val="2"/>
        </w:numPr>
        <w:spacing w:after="80" w:line="280"/>
      </w:pPr>
      <w:r>
        <w:rPr>
          <w:rFonts w:ascii="Arial" w:cs="Arial" w:eastAsia="Arial" w:hAnsi="Arial"/>
        </w:rPr>
        <w:t xml:space="preserve">Reference implementations against Oracle EBS R12 and SAP S/4 (the two most common A&amp;D ERPs) plus a Snowflake reference lake.</w:t>
      </w:r>
    </w:p>
    <w:p>
      <w:pPr>
        <w:pStyle w:val="Heading2"/>
      </w:pPr>
      <w:r>
        <w:rPr>
          <w:rFonts w:ascii="Arial" w:cs="Arial" w:eastAsia="Arial" w:hAnsi="Arial"/>
        </w:rPr>
        <w:t xml:space="preserve">8.2 Wave 3 — Triage and depth</w:t>
      </w:r>
    </w:p>
    <w:p>
      <w:pPr>
        <w:pStyle w:val="ListParagraph"/>
        <w:numPr>
          <w:ilvl w:val="0"/>
          <w:numId w:val="2"/>
        </w:numPr>
        <w:spacing w:after="80" w:line="280"/>
      </w:pPr>
      <w:r>
        <w:rPr>
          <w:rFonts w:ascii="Arial" w:cs="Arial" w:eastAsia="Arial" w:hAnsi="Arial"/>
        </w:rPr>
        <w:t xml:space="preserve">SCM-05-Pegging-Risk-Scorer published when the Decision Support &amp; Triage primitive ships.</w:t>
      </w:r>
    </w:p>
    <w:p>
      <w:pPr>
        <w:pStyle w:val="ListParagraph"/>
        <w:numPr>
          <w:ilvl w:val="0"/>
          <w:numId w:val="2"/>
        </w:numPr>
        <w:spacing w:after="80" w:line="280"/>
      </w:pPr>
      <w:r>
        <w:rPr>
          <w:rFonts w:ascii="Arial" w:cs="Arial" w:eastAsia="Arial" w:hAnsi="Arial"/>
        </w:rPr>
        <w:t xml:space="preserve">Cross-program rollup view (program portfolio CRB report).</w:t>
      </w:r>
    </w:p>
    <w:p>
      <w:pPr>
        <w:pStyle w:val="ListParagraph"/>
        <w:numPr>
          <w:ilvl w:val="0"/>
          <w:numId w:val="2"/>
        </w:numPr>
        <w:spacing w:after="80" w:line="280"/>
      </w:pPr>
      <w:r>
        <w:rPr>
          <w:rFonts w:ascii="Arial" w:cs="Arial" w:eastAsia="Arial" w:hAnsi="Arial"/>
        </w:rPr>
        <w:t xml:space="preserve">Alternate-MPN recommendation workflow integrating with ENG-04 / ENG-05.</w:t>
      </w:r>
    </w:p>
    <w:p>
      <w:pPr>
        <w:pStyle w:val="ListParagraph"/>
        <w:numPr>
          <w:ilvl w:val="0"/>
          <w:numId w:val="2"/>
        </w:numPr>
        <w:spacing w:after="80" w:line="280"/>
      </w:pPr>
      <w:r>
        <w:rPr>
          <w:rFonts w:ascii="Arial" w:cs="Arial" w:eastAsia="Arial" w:hAnsi="Arial"/>
        </w:rPr>
        <w:t xml:space="preserve">Predictive supply-slip detection, joining supplier-side signals to internal pegging volatility.</w:t>
      </w:r>
    </w:p>
    <w:p>
      <w:pPr>
        <w:pStyle w:val="Heading2"/>
      </w:pPr>
      <w:r>
        <w:rPr>
          <w:rFonts w:ascii="Arial" w:cs="Arial" w:eastAsia="Arial" w:hAnsi="Arial"/>
        </w:rPr>
        <w:t xml:space="preserve">8.3 Out of scope (likely future apps)</w:t>
      </w:r>
    </w:p>
    <w:p>
      <w:pPr>
        <w:pStyle w:val="ListParagraph"/>
        <w:numPr>
          <w:ilvl w:val="0"/>
          <w:numId w:val="2"/>
        </w:numPr>
        <w:spacing w:after="80" w:line="280"/>
      </w:pPr>
      <w:r>
        <w:rPr>
          <w:rFonts w:ascii="Arial" w:cs="Arial" w:eastAsia="Arial" w:hAnsi="Arial"/>
        </w:rPr>
        <w:t xml:space="preserve">Counterfeit-parts detection at receiving (separate quality app).</w:t>
      </w:r>
    </w:p>
    <w:p>
      <w:pPr>
        <w:pStyle w:val="ListParagraph"/>
        <w:numPr>
          <w:ilvl w:val="0"/>
          <w:numId w:val="2"/>
        </w:numPr>
        <w:spacing w:after="80" w:line="280"/>
      </w:pPr>
      <w:r>
        <w:rPr>
          <w:rFonts w:ascii="Arial" w:cs="Arial" w:eastAsia="Arial" w:hAnsi="Arial"/>
        </w:rPr>
        <w:t xml:space="preserve">Reverse logistics and recovery pegging (separate sustainment app).</w:t>
      </w:r>
    </w:p>
    <w:p>
      <w:pPr>
        <w:pStyle w:val="ListParagraph"/>
        <w:numPr>
          <w:ilvl w:val="0"/>
          <w:numId w:val="2"/>
        </w:numPr>
        <w:spacing w:after="80" w:line="280"/>
      </w:pPr>
      <w:r>
        <w:rPr>
          <w:rFonts w:ascii="Arial" w:cs="Arial" w:eastAsia="Arial" w:hAnsi="Arial"/>
        </w:rPr>
        <w:t xml:space="preserve">Cost-roll-up and program profitability (separate finance app).</w:t>
      </w:r>
    </w:p>
    <w:p>
      <w:pPr>
        <w:pStyle w:val="Heading1"/>
        <w:pageBreakBefore/>
      </w:pPr>
      <w:r>
        <w:rPr>
          <w:rFonts w:ascii="Arial" w:cs="Arial" w:eastAsia="Arial" w:hAnsi="Arial"/>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Term</w:t>
            </w:r>
          </w:p>
        </w:tc>
        <w:tc>
          <w:tcPr>
            <w:tcW w:type="dxa" w:w="69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A&amp;D</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Aerospace &amp; Defense.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AVL</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Approved Vendor List — the set of manufacturer part numbers approved for a given internal part.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BOM</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Bill of Materials.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CDC</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 Data Capture — a stream of inserts/updates/deletes from a source system.</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CFM</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Customer-Furnished Material.</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CRB</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 Review Board / Configuration Review Board.</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EOL</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End-of-Life — a manufacturer’s notice that a part will be discontinued.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ECO</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Engineering Change Order.</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ERP</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Enterprise Resource Planning system (e.g. Oracle EBS, SAP S/4, IFS).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FFF</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Fit, and Function — the equivalence test for a replacement part.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 peg</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Firm, durable allocation of a supply transaction to a specific demand.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KC / KPC</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Key Characteristic / Key Product Characteristic.</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LRU</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Line-Replaceable Unit.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LTB</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Last-Time-Buy — the final order opportunity before an EOL.</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MES</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 Execution System.</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MPN</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Manufacturer Part Number.</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MRP</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Requirements Planning.</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MRO</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Maintenance, Repair, and Overhaul.</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PCN / PDN</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Change / Product Discontinuance Notice.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PLM</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 Lifecycle Management (e.g. Teamcenter, Windchill, Aras).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Order.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peg</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Algorithmic, transient match of supply to demand; ranked, recomputable.</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Where-used</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set of parents that a given part appears in.</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8"/>
        <w:szCs w:val="18"/>
      </w:rPr>
      <w:t xml:space="preserve">Confidential</w:t>
    </w:r>
    <w:r>
      <w:rPr>
        <w:rFonts w:ascii="Arial" w:cs="Arial" w:eastAsia="Arial" w:hAnsi="Arial"/>
      </w:rPr>
      <w:ptab w:alignment="right" w:relativeTo="margin" w:leader="none"/>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8"/>
        <w:szCs w:val="18"/>
      </w:rPr>
      <w:t xml:space="preserve">SCM-05 — Multi-Level Pegging Explorer</w:t>
    </w:r>
    <w:r>
      <w:rPr>
        <w:rFonts w:ascii="Arial" w:cs="Arial" w:eastAsia="Arial" w:hAnsi="Arial"/>
      </w:rPr>
      <w:ptab w:alignment="right" w:relativeTo="margin" w:leader="none"/>
    </w:r>
    <w:r>
      <w:rPr>
        <w:rFonts w:ascii="Arial" w:cs="Arial" w:eastAsia="Arial" w:hAnsi="Arial"/>
        <w:color w:val="6B7280"/>
        <w:sz w:val="18"/>
        <w:szCs w:val="18"/>
      </w:rPr>
      <w:t xml:space="preserve">Design Specification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SCM-05 Multi-Level Pegging Explorer Design Specification</dc:title>
  <dc:creator>AI Interaction Framework</dc:creator>
  <dc:description>Design spec for the SCM-05 Multi-Level Pegging Explorer Mendix Marketplace application.</dc:description>
  <cp:lastModifiedBy>Un-named</cp:lastModifiedBy>
  <cp:revision>1</cp:revision>
  <dcterms:created xsi:type="dcterms:W3CDTF">2026-04-30T00:03:38.326Z</dcterms:created>
  <dcterms:modified xsi:type="dcterms:W3CDTF">2026-04-30T00:03:38.327Z</dcterms:modified>
</cp:coreProperties>
</file>

<file path=docProps/custom.xml><?xml version="1.0" encoding="utf-8"?>
<Properties xmlns="http://schemas.openxmlformats.org/officeDocument/2006/custom-properties" xmlns:vt="http://schemas.openxmlformats.org/officeDocument/2006/docPropsVTypes"/>
</file>