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before="0"/>
        <w:jc w:val="center"/>
      </w:pPr>
      <w:r>
        <w:rPr>
          <w:b/>
          <w:bCs/>
          <w:color w:val="0B2E4F"/>
          <w:sz w:val="56"/>
          <w:szCs w:val="56"/>
        </w:rPr>
        <w:t xml:space="preserve">AI INTERACTION APPS</w:t>
      </w:r>
    </w:p>
    <w:p>
      <w:pPr>
        <w:spacing w:after="600" w:before="0"/>
        <w:jc w:val="center"/>
      </w:pPr>
      <w:r>
        <w:rPr>
          <w:b/>
          <w:bCs/>
          <w:color w:val="2E5680"/>
          <w:sz w:val="36"/>
          <w:szCs w:val="36"/>
        </w:rPr>
        <w:t xml:space="preserve">for the Mendix Marketplace</w:t>
      </w:r>
    </w:p>
    <w:p>
      <w:pPr>
        <w:spacing w:after="120" w:before="400"/>
        <w:jc w:val="center"/>
      </w:pPr>
      <w:r>
        <w:rPr>
          <w:color w:val="000000"/>
          <w:sz w:val="32"/>
          <w:szCs w:val="32"/>
        </w:rPr>
        <w:t xml:space="preserve">Portfolio Plan — Nuclear Energy</w:t>
      </w:r>
    </w:p>
    <w:p>
      <w:pPr>
        <w:spacing w:after="120" w:before="60"/>
        <w:jc w:val="center"/>
      </w:pPr>
      <w:r>
        <w:rPr>
          <w:i/>
          <w:iCs/>
          <w:color w:val="2E5680"/>
          <w:sz w:val="26"/>
          <w:szCs w:val="26"/>
        </w:rPr>
        <w:t xml:space="preserve">Fission Fleet · Advanced Reactors · Fusion</w:t>
      </w:r>
    </w:p>
    <w:p>
      <w:pPr>
        <w:spacing w:after="600" w:before="120"/>
        <w:jc w:val="center"/>
      </w:pPr>
      <w:r>
        <w:rPr>
          <w:i/>
          <w:iCs/>
          <w:sz w:val="24"/>
          <w:szCs w:val="24"/>
        </w:rPr>
        <w:t xml:space="preserve">Standardizing AI Interactions for Common Business Processes</w:t>
      </w:r>
    </w:p>
    <w:p>
      <w:pPr>
        <w:spacing w:before="1200"/>
        <w:jc w:val="center"/>
      </w:pPr>
      <w:r>
        <w:rPr>
          <w:color w:val="2E5680"/>
          <w:sz w:val="22"/>
          <w:szCs w:val="22"/>
        </w:rPr>
        <w:t xml:space="preserve">Prepared by Marco Leon  ·  April 2026</w:t>
      </w:r>
    </w:p>
    <w:p>
      <w:r>
        <w:br w:type="page"/>
      </w:r>
    </w:p>
    <w:p>
      <w:pPr>
        <w:spacing w:after="200" w:before="200"/>
      </w:pPr>
      <w:r>
        <w:rPr>
          <w:b/>
          <w:bCs/>
          <w:color w:val="0B2E4F"/>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0B2E4F"/>
          <w:sz w:val="36"/>
          <w:szCs w:val="36"/>
        </w:rPr>
        <w:t xml:space="preserve">Executive Summary</w:t>
      </w:r>
    </w:p>
    <w:p>
      <w:pPr>
        <w:spacing w:after="60" w:before="60" w:line="300"/>
      </w:pPr>
      <w:r>
        <w:t xml:space="preserve">This document describes a portfolio of thirteen AI-enabled applications to be published on the Mendix Marketplace. The portfolio is designed for the nuclear energy sector — covering the operating fission fleet, advanced reactor developers (SMR and Gen-IV), and commercial fusion programs. Nuclear is a sector where AI can produce step-change gains in licensing throughput, fleet reliability, and human performance, but where the safety culture, regulatory burden, and traceability requirements have historically constrained adoption of generative AI.</w:t>
      </w:r>
    </w:p>
    <w:p>
      <w:pPr>
        <w:spacing w:after="60" w:before="60" w:line="300"/>
      </w:pPr>
      <w:r>
        <w:t xml:space="preserve">Every application in the portfolio is built on a shared foundational Mendix module, the AI Interaction Framework, which standardizes how Mendix apps invoke large language models. The framework exposes a small number of reusable interaction primitives — document intelligence, guided copilots, drafting &amp; generation, and decision support &amp; triage — with common governance, citation, approval, and audit behavior. Application teams build business workflows on top of those primitives rather than integrating raw LLM APIs.</w:t>
      </w:r>
    </w:p>
    <w:p>
      <w:pPr>
        <w:spacing w:after="60" w:before="60" w:line="300"/>
      </w:pPr>
      <w:r>
        <w:t xml:space="preserve">The intended buyer is the business process owner — a director or vice president of licensing, operations, engineering, maintenance, radiation protection, or regulatory affairs — who wants a turnkey, auditable AI application they can deploy inside their existing Mendix environment, with predictable behavior, a defensible safety case posture, and an audit trail acceptable to the NRC, CNSC, ONR, and equivalent regulators. The portfolio targets three nuclear process areas: Licensing, Safety Case &amp; Design Engineering; Fleet Operations, Maintenance &amp; Human Performance; and Fuel, Radiation Protection, Reporting &amp; Fusion R&amp;D.</w:t>
      </w:r>
    </w:p>
    <w:p>
      <w:pPr>
        <w:spacing w:after="60" w:before="60" w:line="300"/>
      </w:pPr>
      <w:r>
        <w:t xml:space="preserve">A three-wave release plan prioritizes four Wave 1 applications that combine the highest business value with the clearest regulator-ready governance story. Waves 2 and 3 deepen domain coverage while the foundational framework matures. The portfolio architecture is explicitly designed to extend into adjacent regulated sectors — medical devices, aerospace &amp; defense, utilities transmission &amp; distribution — because the interaction primitives and governance behaviors are sector-agnostic.</w:t>
      </w:r>
    </w:p>
    <w:p>
      <w:pPr>
        <w:pStyle w:val="Heading1"/>
        <w:spacing w:after="160" w:before="320"/>
      </w:pPr>
      <w:r>
        <w:rPr>
          <w:b/>
          <w:bCs/>
          <w:color w:val="0B2E4F"/>
          <w:sz w:val="36"/>
          <w:szCs w:val="36"/>
        </w:rPr>
        <w:t xml:space="preserve">Portfolio Strategy</w:t>
      </w:r>
    </w:p>
    <w:p>
      <w:pPr>
        <w:pStyle w:val="Heading2"/>
        <w:spacing w:after="120" w:before="260"/>
      </w:pPr>
      <w:r>
        <w:rPr>
          <w:b/>
          <w:bCs/>
          <w:color w:val="2E5680"/>
          <w:sz w:val="28"/>
          <w:szCs w:val="28"/>
        </w:rPr>
        <w:t xml:space="preserve">Why nuclear energy first</w:t>
      </w:r>
    </w:p>
    <w:p>
      <w:pPr>
        <w:spacing w:after="60" w:before="60" w:line="300"/>
      </w:pPr>
      <w:r>
        <w:t xml:space="preserve">Nuclear energy is a deliberate starting point for four reasons. First, the unit economics of nuclear work are favorable for well-governed AI: licensing submittals, design-change evaluations, procedure authoring, operating experience review, and radiation work planning are all high-labor, document-heavy activities where correctly cited AI assistance materially compresses cycle time. Second, the sector has non-negotiable governance requirements — 10 CFR 50 / 52 / 53, NQA-1, IAEA Safety Standards, INPO / WANO Performance Objectives, CNSC REGDOC series, ONR SAPs — that create a natural moat for apps designed with auditability, explainability, and role-based scoping from day one. Third, the industry is expanding faster than it has in four decades: SMR deployment, advanced reactor demonstration programs, fleet life-extension and uprates, and the first commercial fusion pilot plants all create immediate demand for scalable engineering and licensing capacity. Fourth, nuclear operators and developers are already Mendix customers for outage planning, work management, configuration-management, and regulatory workflows, which shortens the distance between marketplace discovery and deployment.</w:t>
      </w:r>
    </w:p>
    <w:p>
      <w:pPr>
        <w:spacing w:after="60" w:before="60" w:line="300"/>
      </w:pPr>
      <w:r>
        <w:t xml:space="preserve">These same properties — document-heavy workflows, heavy regulatory governance, existing Mendix adoption — recur in medical devices, aerospace &amp; defense, and utilities. The portfolio is designed to expand into those sectors after the nuclear portfolio matures.</w:t>
      </w:r>
    </w:p>
    <w:p>
      <w:pPr>
        <w:pStyle w:val="Heading2"/>
        <w:spacing w:after="120" w:before="260"/>
      </w:pPr>
      <w:r>
        <w:rPr>
          <w:b/>
          <w:bCs/>
          <w:color w:val="2E5680"/>
          <w:sz w:val="28"/>
          <w:szCs w:val="28"/>
        </w:rPr>
        <w:t xml:space="preserve">The four standardized AI interaction patterns</w:t>
      </w:r>
    </w:p>
    <w:p>
      <w:pPr>
        <w:spacing w:after="60" w:before="60" w:line="300"/>
      </w:pPr>
      <w:r>
        <w:t xml:space="preserve">Every application in the portfolio expresses its AI behavior as one or more of four interaction patterns. Standardizing on these patterns — rather than on features of any single model provider — is what makes the portfolio coherent, easier to govern, and portable across LLM backends.</w:t>
      </w:r>
    </w:p>
    <w:p>
      <w:pPr>
        <w:pStyle w:val="ListParagraph"/>
        <w:numPr>
          <w:ilvl w:val="0"/>
          <w:numId w:val="2"/>
        </w:numPr>
        <w:spacing w:after="20" w:before="20" w:line="300"/>
      </w:pPr>
      <w:r>
        <w:t xml:space="preserve">Document intelligence. Structured extraction, classification, and summarization of licensing basis documents, tech specs, design packages, procedures, work orders, operating experience reports, and inspection logs into Mendix entities, with per-fact citations to source pages.</w:t>
      </w:r>
    </w:p>
    <w:p>
      <w:pPr>
        <w:pStyle w:val="ListParagraph"/>
        <w:numPr>
          <w:ilvl w:val="0"/>
          <w:numId w:val="2"/>
        </w:numPr>
        <w:spacing w:after="20" w:before="20" w:line="300"/>
      </w:pPr>
      <w:r>
        <w:t xml:space="preserve">Guided copilots. Role-scoped chat assistants grounded in approved, plant- or program-specific artifacts, with deterministic citation, low-confidence escalation, and human-in-the-loop approval for any side effect. Never autonomous.</w:t>
      </w:r>
    </w:p>
    <w:p>
      <w:pPr>
        <w:pStyle w:val="ListParagraph"/>
        <w:numPr>
          <w:ilvl w:val="0"/>
          <w:numId w:val="2"/>
        </w:numPr>
        <w:spacing w:after="20" w:before="20" w:line="300"/>
      </w:pPr>
      <w:r>
        <w:t xml:space="preserve">Drafting &amp; generation. Template-driven generation of regulated artifacts — licensing amendment requests, 10 CFR 50.59 evaluations, RAI responses, procedures, radiation work permits, LER narratives, outage work packages — from structured inputs, with reviewer queues and version-controlled outputs.</w:t>
      </w:r>
    </w:p>
    <w:p>
      <w:pPr>
        <w:pStyle w:val="ListParagraph"/>
        <w:numPr>
          <w:ilvl w:val="0"/>
          <w:numId w:val="2"/>
        </w:numPr>
        <w:spacing w:after="20" w:before="20" w:line="300"/>
      </w:pPr>
      <w:r>
        <w:t xml:space="preserve">Decision support &amp; triage. Classification, routing, scoring, and next-action recommendations with explainable factors, confidence thresholds, and full audit trails. Used for operating-experience relevance, predictive-maintenance action planning, supply-chain CFSI screening, and 50.59 applicability.</w:t>
      </w:r>
    </w:p>
    <w:p>
      <w:pPr>
        <w:pStyle w:val="Heading2"/>
        <w:spacing w:after="120" w:before="260"/>
      </w:pPr>
      <w:r>
        <w:rPr>
          <w:b/>
          <w:bCs/>
          <w:color w:val="2E5680"/>
          <w:sz w:val="28"/>
          <w:szCs w:val="28"/>
        </w:rPr>
        <w:t xml:space="preserve">The foundational module: AI Interaction Framework</w:t>
      </w:r>
    </w:p>
    <w:p>
      <w:pPr>
        <w:spacing w:after="60" w:before="60" w:line="300"/>
      </w:pPr>
      <w:r>
        <w:t xml:space="preserve">The AI Interaction Framework is the first and most important module in the portfolio. Every other app is built on it. Publishing it first earns trust with Mendix developers and with nuclear IT, cybersecurity, and licensing organizations, and creates the governance surface that nuclear business-process owners require before deploying AI internally. The framework provides:</w:t>
      </w:r>
    </w:p>
    <w:p>
      <w:pPr>
        <w:pStyle w:val="ListParagraph"/>
        <w:numPr>
          <w:ilvl w:val="0"/>
          <w:numId w:val="2"/>
        </w:numPr>
        <w:spacing w:after="20" w:before="20" w:line="300"/>
      </w:pPr>
      <w:r>
        <w:t xml:space="preserve">Interaction primitives. Versioned microflows and nanoflows for extract, classify, summarize, draft-from-template, answer-with-citations, cluster, and score. Apps call the primitives; the primitives own prompt templates, backend selection, and governance behavior.</w:t>
      </w:r>
    </w:p>
    <w:p>
      <w:pPr>
        <w:pStyle w:val="ListParagraph"/>
        <w:numPr>
          <w:ilvl w:val="0"/>
          <w:numId w:val="2"/>
        </w:numPr>
        <w:spacing w:after="20" w:before="20" w:line="300"/>
      </w:pPr>
      <w:r>
        <w:t xml:space="preserve">LLM backend abstraction. Swappable connectors for Azure OpenAI, Amazon Bedrock (Claude), Google Vertex, and on-prem / air-gapped deployments. Task- and data-sensitivity-tier routing is policy-driven, not hard-coded. Safeguards-information (SGI) and safeguards-information-modified handling (SGI-M) default to on-prem routing.</w:t>
      </w:r>
    </w:p>
    <w:p>
      <w:pPr>
        <w:pStyle w:val="ListParagraph"/>
        <w:numPr>
          <w:ilvl w:val="0"/>
          <w:numId w:val="2"/>
        </w:numPr>
        <w:spacing w:after="20" w:before="20" w:line="300"/>
      </w:pPr>
      <w:r>
        <w:t xml:space="preserve">Retrieval &amp; grounding. A standard vector-store connector, chunking pipeline, and citation object. Every answer carries a machine-readable pointer to its source — page, section, and revision of the underlying licensing basis, procedure, or operating-experience record.</w:t>
      </w:r>
    </w:p>
    <w:p>
      <w:pPr>
        <w:pStyle w:val="ListParagraph"/>
        <w:numPr>
          <w:ilvl w:val="0"/>
          <w:numId w:val="2"/>
        </w:numPr>
        <w:spacing w:after="20" w:before="20" w:line="300"/>
      </w:pPr>
      <w:r>
        <w:t xml:space="preserve">Guardrails &amp; policy. Data-classification filters, SGI- and export-aware scoping, PII redaction, denied-topic list, prompt-injection defenses, and a deterministic ‘refuse-if-ungrounded’ mode. Defaults to restrictive.</w:t>
      </w:r>
    </w:p>
    <w:p>
      <w:pPr>
        <w:pStyle w:val="ListParagraph"/>
        <w:numPr>
          <w:ilvl w:val="0"/>
          <w:numId w:val="2"/>
        </w:numPr>
        <w:spacing w:after="20" w:before="20" w:line="300"/>
      </w:pPr>
      <w:r>
        <w:t xml:space="preserve">Human-in-the-loop controls. Confidence thresholds, reviewer queues, e-signature on irreversible actions, and override logs. Safety-significant actions always require a qualified human approver.</w:t>
      </w:r>
    </w:p>
    <w:p>
      <w:pPr>
        <w:pStyle w:val="ListParagraph"/>
        <w:numPr>
          <w:ilvl w:val="0"/>
          <w:numId w:val="2"/>
        </w:numPr>
        <w:spacing w:after="20" w:before="20" w:line="300"/>
      </w:pPr>
      <w:r>
        <w:t xml:space="preserve">Audit &amp; observability. Immutable log of prompts, completions, retrieved documents, user IDs, and downstream actions, with a cost and usage dashboard and an exportable audit package sized for NRC or CNSC inspection.</w:t>
      </w:r>
    </w:p>
    <w:p>
      <w:pPr>
        <w:pStyle w:val="ListParagraph"/>
        <w:numPr>
          <w:ilvl w:val="0"/>
          <w:numId w:val="2"/>
        </w:numPr>
        <w:spacing w:after="20" w:before="20" w:line="300"/>
      </w:pPr>
      <w:r>
        <w:t xml:space="preserve">Role-based scoping. Output filters bound to Mendix user roles, plant, unit, and per-program security classification (SGI, SRI, Part 810, export-controlled).</w:t>
      </w:r>
    </w:p>
    <w:p>
      <w:pPr>
        <w:pStyle w:val="ListParagraph"/>
        <w:numPr>
          <w:ilvl w:val="0"/>
          <w:numId w:val="2"/>
        </w:numPr>
        <w:spacing w:after="20" w:before="20" w:line="300"/>
      </w:pPr>
      <w:r>
        <w:t xml:space="preserve">Evaluation harness. A built-in test runner for prompt and retrieval changes, with regression-sensitive metrics (grounding precision, citation rate, hallucination rate, refusal rate on out-of-scope queries) visible to business owners and licensing.</w:t>
      </w:r>
    </w:p>
    <w:p>
      <w:pPr>
        <w:pStyle w:val="Heading2"/>
        <w:spacing w:after="120" w:before="260"/>
      </w:pPr>
      <w:r>
        <w:rPr>
          <w:b/>
          <w:bCs/>
          <w:color w:val="2E5680"/>
          <w:sz w:val="28"/>
          <w:szCs w:val="28"/>
        </w:rPr>
        <w:t xml:space="preserve">Target buyer and how this portfolio speaks to them</w:t>
      </w:r>
    </w:p>
    <w:p>
      <w:pPr>
        <w:spacing w:after="60" w:before="60" w:line="300"/>
      </w:pPr>
      <w:r>
        <w:t xml:space="preserve">The primary buyer is the business process owner — a vice president or director of licensing, operations, engineering, maintenance, radiation protection, regulatory affairs, or fleet reliability. This person is accountable for outcomes (licensing cycle time, capacity factor, human-performance events, dose to workers, operating-experience actions closed) and is often frustrated with general-purpose AI tools that produce plausible output without defensible process. Each one-pager in this catalog is written to answer that buyer's five recurring questions: What problem does this solve? What does it actually do? How is the AI controlled? What does it integrate with? How will I measure value? Mendix developers, plant IT, cybersecurity (10 CFR 73.54 and Reg. Guide 5.71), and corporate licensing are secondary audiences and are served through the catalog's Mendix-components and integrations sections.</w:t>
      </w:r>
    </w:p>
    <w:p>
      <w:pPr>
        <w:pStyle w:val="Heading1"/>
        <w:spacing w:after="160" w:before="320"/>
      </w:pPr>
      <w:r>
        <w:rPr>
          <w:b/>
          <w:bCs/>
          <w:color w:val="0B2E4F"/>
          <w:sz w:val="36"/>
          <w:szCs w:val="36"/>
        </w:rPr>
        <w:t xml:space="preserve">The Application Portfolio</w:t>
      </w:r>
    </w:p>
    <w:p>
      <w:pPr>
        <w:spacing w:after="60" w:before="60" w:line="300"/>
      </w:pPr>
      <w:r>
        <w:t xml:space="preserve">The portfolio comprises thirteen applications organized across three nuclear-sector process areas. Every application is built on the AI Interaction Framework and uses one or more of the four standardized interaction patterns. Each one-pager that follows is written for the business process owner who would sponsor deployment, with enough technical context for a Mendix lead, plant IT architect, or licensing reviewer to assess fit.</w:t>
      </w:r>
    </w:p>
    <w:p>
      <w:pPr>
        <w:pStyle w:val="Heading2"/>
        <w:spacing w:after="120" w:before="260"/>
      </w:pPr>
      <w:r>
        <w:rPr>
          <w:b/>
          <w:bCs/>
          <w:color w:val="2E5680"/>
          <w:sz w:val="28"/>
          <w:szCs w:val="28"/>
        </w:rPr>
        <w:t xml:space="preserve">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3600"/>
        <w:gridCol w:w="1860"/>
        <w:gridCol w:w="1820"/>
        <w:gridCol w:w="1060"/>
      </w:tblGrid>
      <w:tr>
        <w:trPr>
          <w:tblHeader/>
        </w:trPr>
        <w:tc>
          <w:tcPr>
            <w:tcW w:type="dxa" w:w="102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Code</w:t>
            </w:r>
          </w:p>
        </w:tc>
        <w:tc>
          <w:tcPr>
            <w:tcW w:type="dxa" w:w="360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Application</w:t>
            </w:r>
          </w:p>
        </w:tc>
        <w:tc>
          <w:tcPr>
            <w:tcW w:type="dxa" w:w="186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Domain</w:t>
            </w:r>
          </w:p>
        </w:tc>
        <w:tc>
          <w:tcPr>
            <w:tcW w:type="dxa" w:w="182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Primary AI Pattern</w:t>
            </w:r>
          </w:p>
        </w:tc>
        <w:tc>
          <w:tcPr>
            <w:tcW w:type="dxa" w:w="106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Wave</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LIC-01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Licensing Basis &amp; Design-Basis Extraction</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Licensing, Safety Case &amp; Design Engineering</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Document intelligence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1</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LIC-02</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Regulator Submittal Drafting Assistant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Licensing, Safety Case &amp; Design Engineering</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Drafting &amp; generation</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2</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LIC-03</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10 CFR 50.59 / Design Change Screener</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Licensing, Safety Case &amp; Design Engineering</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Decision support &amp; triage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2</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LIC-04</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PSA / PRA Narrative Copilot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Licensing, Safety Case &amp; Design Engineering</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Guided copilot</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3</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LIC-05</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Nuclear-Grade Supply Chain &amp; CFSI Copilot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Licensing, Safety Case &amp; Design Engineering</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Decision support &amp; triage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2</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OPS-01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Operating Experience (OpEx) Intelligence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Fleet Operations, Maintenance &amp; Human Performance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Decision support &amp; triage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1</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OPS-02</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Control Room Log Triage &amp; Shift Turnover Copilot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Fleet Operations, Maintenance &amp; Human Performance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Document intelligence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2</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OPS-03</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Procedure Authoring &amp; Change Assistant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Fleet Operations, Maintenance &amp; Human Performance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Drafting &amp; generation</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1</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OPS-04</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Outage Work Package Generator</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Fleet Operations, Maintenance &amp; Human Performance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Drafting &amp; generation</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3</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OPS-05</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Predictive Maintenance Action Advisor</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Fleet Operations, Maintenance &amp; Human Performance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Decision support &amp; triage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3</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RAD-01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ALARA, RWP Drafting &amp; Dose Review Copilot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Fuel, Radiation Protection, Reporting &amp; Fusion R&amp;D</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Guided copilot</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1</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REG-01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LER &amp; Regulatory Reporting Drafting Assistant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Fuel, Radiation Protection, Reporting &amp; Fusion R&amp;D</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Drafting &amp; generation</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2</w:t>
            </w:r>
          </w:p>
        </w:tc>
      </w:tr>
      <w:tr>
        <w:tc>
          <w:tcPr>
            <w:tcW w:type="dxa" w:w="1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FUS-01</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Fusion Experiment Campaign Analyst</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Fuel, Radiation Protection, Reporting &amp; Fusion R&amp;D</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Document intelligence</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Wave 3</w:t>
            </w:r>
          </w:p>
        </w:tc>
      </w:tr>
    </w:tbl>
    <w:p>
      <w:pPr>
        <w:spacing w:before="120"/>
      </w:pPr>
    </w:p>
    <w:p>
      <w:pPr>
        <w:pStyle w:val="Heading1"/>
        <w:spacing w:after="160" w:before="320"/>
      </w:pPr>
      <w:r>
        <w:rPr>
          <w:b/>
          <w:bCs/>
          <w:color w:val="0B2E4F"/>
          <w:sz w:val="36"/>
          <w:szCs w:val="36"/>
        </w:rPr>
        <w:t xml:space="preserve">Domain 1 · Licensing, Safety Case &amp; Design Engineering</w:t>
      </w:r>
    </w:p>
    <w:p>
      <w:pPr>
        <w:spacing w:after="60" w:before="60" w:line="300"/>
      </w:pPr>
      <w:r>
        <w:t xml:space="preserve">Nuclear licensing and design engineering are document-dense, traceability-critical, and review-heavy. These five apps compress the most labor-intensive activities — licensing basis extraction, regulator submittal drafting, 10 CFR 50.59 screening and evaluation, PSA/PRA narrative generation, and nuclear-grade supply chain qualification — while keeping qualified engineers and licensing professionals firmly in the loop on every approval. The 50.59 screener (LIC-03) and the submittal drafter (LIC-02) are designed to operate as a coordinated pair: LIC-03 produces the evaluation that LIC-02 uses to draft the LAR when one is required.</w:t>
      </w:r>
    </w:p>
    <w:p>
      <w:pPr>
        <w:pStyle w:val="Heading2"/>
        <w:spacing w:after="120" w:before="280"/>
      </w:pPr>
      <w:r>
        <w:rPr>
          <w:b/>
          <w:bCs/>
          <w:color w:val="2E5680"/>
          <w:sz w:val="28"/>
          <w:szCs w:val="28"/>
        </w:rPr>
        <w:t xml:space="preserve">LIC-01  ·  Licensing Basis &amp; Design-Basis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Safety Case &amp; Design Engineering</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Document intelligence (primary); Decision support (gap analysis)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Manager; Design Basis Engineer; Configuration Manager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basis reconstitution initiative; new build; SMR COLA preparation.</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Extracting design- and licensing-basis commitments from FSARs, UFSARs, Technical Specifications, license conditions, SERs, and RAI history — and maintaining traceability through drawings, procedures, and PRAs — is the most error-prone activity in configuration management. Gaps and silent conflicts surface during license amendment reviews, where remediation is slow and expensive.</w:t>
      </w:r>
    </w:p>
    <w:p>
      <w:pPr>
        <w:pStyle w:val="Heading3"/>
        <w:spacing w:after="80" w:before="200"/>
      </w:pPr>
      <w:r>
        <w:rPr>
          <w:b/>
          <w:bCs/>
          <w:color w:val="0B2E4F"/>
          <w:sz w:val="24"/>
          <w:szCs w:val="24"/>
        </w:rPr>
        <w:t xml:space="preserve">What the app does</w:t>
      </w:r>
    </w:p>
    <w:p>
      <w:pPr>
        <w:spacing w:after="60" w:before="60" w:line="300"/>
      </w:pPr>
      <w:r>
        <w:t xml:space="preserve">Parses FSAR/UFSAR, Tech Specs, license conditions, SER and SE, RAI exchanges, and topical reports into structured commitment, assumption, and design-basis statements. Classifies each (commitment, initial condition, bounding analysis, design input, operator action), links to configuration items, procedures, and PRA elements, and maintains bidirectional traceability with a gap and conflict report.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FSAR / UFSAR (primary and SMR reference)</w:t>
            </w:r>
          </w:p>
          <w:p>
            <w:pPr>
              <w:spacing w:after="20" w:before="20" w:line="280"/>
              <w:ind w:left="180" w:hanging="180"/>
            </w:pPr>
            <w:r>
              <w:t xml:space="preserve">•  Tech Specs and TS Bases</w:t>
            </w:r>
          </w:p>
          <w:p>
            <w:pPr>
              <w:spacing w:after="20" w:before="20" w:line="280"/>
              <w:ind w:left="180" w:hanging="180"/>
            </w:pPr>
            <w:r>
              <w:t xml:space="preserve">•  License conditions, SERs, RAIs</w:t>
            </w:r>
          </w:p>
          <w:p>
            <w:pPr>
              <w:spacing w:after="20" w:before="20" w:line="280"/>
              <w:ind w:left="180" w:hanging="180"/>
            </w:pPr>
            <w:r>
              <w:t xml:space="preserve">•  Topical reports and NUREG references</w:t>
            </w:r>
          </w:p>
          <w:p>
            <w:pPr>
              <w:spacing w:after="20" w:before="20" w:line="280"/>
              <w:ind w:left="180" w:hanging="180"/>
            </w:pPr>
            <w:r>
              <w:t xml:space="preserve">•  Design specifications and DBDs</w:t>
            </w:r>
          </w:p>
          <w:p>
            <w:pPr>
              <w:spacing w:after="20" w:before="20" w:line="280"/>
              <w:ind w:left="180" w:hanging="180"/>
            </w:pPr>
            <w:r>
              <w:t xml:space="preserve">•  Existing commitment register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Structured commitment and design-basis statements with citations</w:t>
            </w:r>
          </w:p>
          <w:p>
            <w:pPr>
              <w:spacing w:after="20" w:before="20" w:line="280"/>
              <w:ind w:left="180" w:hanging="180"/>
            </w:pPr>
            <w:r>
              <w:t xml:space="preserve">•  Classification (commitment, assumption, bounding analysis, operator action)</w:t>
            </w:r>
          </w:p>
          <w:p>
            <w:pPr>
              <w:spacing w:after="20" w:before="20" w:line="280"/>
              <w:ind w:left="180" w:hanging="180"/>
            </w:pPr>
            <w:r>
              <w:t xml:space="preserve">•  Bidirectional traceability to CIs, procedures, and PRA elements</w:t>
            </w:r>
          </w:p>
          <w:p>
            <w:pPr>
              <w:spacing w:after="20" w:before="20" w:line="280"/>
              <w:ind w:left="180" w:hanging="180"/>
            </w:pPr>
            <w:r>
              <w:t xml:space="preserve">•  Gap and conflict report with severity</w:t>
            </w:r>
          </w:p>
          <w:p>
            <w:pPr>
              <w:spacing w:after="20" w:before="20" w:line="280"/>
              <w:ind w:left="180" w:hanging="180"/>
            </w:pPr>
            <w:r>
              <w:t xml:space="preserve">•  Versioned commitment register export to configuration management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Commitment, DesignBasis, CI, Procedure entities</w:t>
            </w:r>
          </w:p>
          <w:p>
            <w:pPr>
              <w:spacing w:after="20" w:before="20" w:line="280"/>
              <w:ind w:left="180" w:hanging="180"/>
            </w:pPr>
            <w:r>
              <w:t xml:space="preserve">•  Traceability graph page (Atlas UI)</w:t>
            </w:r>
          </w:p>
          <w:p>
            <w:pPr>
              <w:spacing w:after="20" w:before="20" w:line="280"/>
              <w:ind w:left="180" w:hanging="180"/>
            </w:pPr>
            <w:r>
              <w:t xml:space="preserve">•  Reviewer workbench for licensing</w:t>
            </w:r>
          </w:p>
          <w:p>
            <w:pPr>
              <w:spacing w:after="20" w:before="20" w:line="280"/>
              <w:ind w:left="180" w:hanging="180"/>
            </w:pPr>
            <w:r>
              <w:t xml:space="preserve">•  AI Interaction Framework extract + classify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PassPort, ProjectWise, Documentum</w:t>
            </w:r>
          </w:p>
          <w:p>
            <w:pPr>
              <w:spacing w:after="20" w:before="20" w:line="280"/>
              <w:ind w:left="180" w:hanging="180"/>
            </w:pPr>
            <w:r>
              <w:t xml:space="preserve">•  Asset Suite, Maximo, Cassini, NextAxiom</w:t>
            </w:r>
          </w:p>
          <w:p>
            <w:pPr>
              <w:spacing w:after="20" w:before="20" w:line="280"/>
              <w:ind w:left="180" w:hanging="180"/>
            </w:pPr>
            <w:r>
              <w:t xml:space="preserve">•  Configuration management (CMPro, Passport Design Basis)</w:t>
            </w:r>
          </w:p>
          <w:p>
            <w:pPr>
              <w:spacing w:after="20" w:before="20" w:line="280"/>
              <w:ind w:left="180" w:hanging="180"/>
            </w:pPr>
            <w:r>
              <w:t xml:space="preserve">•  PRA tooling (CAFTA, RiskSpectrum)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All extractions cite source page and clause</w:t>
            </w:r>
          </w:p>
          <w:p>
            <w:pPr>
              <w:spacing w:after="20" w:before="20" w:line="280"/>
              <w:ind w:left="180" w:hanging="180"/>
            </w:pPr>
            <w:r>
              <w:t xml:space="preserve">•  Licensing engineer confirms before baseline</w:t>
            </w:r>
          </w:p>
          <w:p>
            <w:pPr>
              <w:spacing w:after="20" w:before="20" w:line="280"/>
              <w:ind w:left="180" w:hanging="180"/>
            </w:pPr>
            <w:r>
              <w:t xml:space="preserve">•  Classification changes version-tracked</w:t>
            </w:r>
          </w:p>
          <w:p>
            <w:pPr>
              <w:spacing w:after="20" w:before="20" w:line="280"/>
              <w:ind w:left="180" w:hanging="180"/>
            </w:pPr>
            <w:r>
              <w:t xml:space="preserve">•  Role-based scoping for SGI and sensitive topics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Time to licensing-basis baseline</w:t>
            </w:r>
          </w:p>
          <w:p>
            <w:pPr>
              <w:spacing w:after="20" w:before="20" w:line="280"/>
              <w:ind w:left="180" w:hanging="180"/>
            </w:pPr>
            <w:r>
              <w:t xml:space="preserve">•  Commitment-gap rate at amendment review</w:t>
            </w:r>
          </w:p>
          <w:p>
            <w:pPr>
              <w:spacing w:after="20" w:before="20" w:line="280"/>
              <w:ind w:left="180" w:hanging="180"/>
            </w:pPr>
            <w:r>
              <w:t xml:space="preserve">•  Traceability completeness %</w:t>
            </w:r>
          </w:p>
          <w:p>
            <w:pPr>
              <w:spacing w:after="20" w:before="20" w:line="280"/>
              <w:ind w:left="180" w:hanging="180"/>
            </w:pPr>
            <w:r>
              <w:t xml:space="preserve">•  Hours saved per reconstitution cycle</w:t>
            </w:r>
          </w:p>
        </w:tc>
      </w:tr>
    </w:tbl>
    <w:p>
      <w:pPr>
        <w:spacing w:before="200"/>
      </w:pPr>
    </w:p>
    <w:p>
      <w:pPr>
        <w:pStyle w:val="Heading2"/>
        <w:spacing w:after="120" w:before="280"/>
      </w:pPr>
      <w:r>
        <w:rPr>
          <w:b/>
          <w:bCs/>
          <w:color w:val="2E5680"/>
          <w:sz w:val="28"/>
          <w:szCs w:val="28"/>
        </w:rPr>
        <w:t xml:space="preserve">LIC-02  ·  Regulator Submittal Drafting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Safety Case &amp; Design Engineering</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Drafting &amp; generation (primary); Document intelligence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Engineer; Regulatory Affairs Manager; SMR Licensing Lead</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Backlog of license amendments; new submittal campaign; first-of-a-kind SMR or fusion licensing.</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Drafting License Amendment Requests, 10 CFR 50.59 evaluations, RAI responses, COLA supplements, and equivalents for CNSC, ONR, IAEA, and fusion pathways (NRC Part 53 or byproduct route) requires cross-referencing thousands of pages. Manual drafting is slow, style drifts between authors, and reviewers catch preventable inconsistencies late.</w:t>
      </w:r>
    </w:p>
    <w:p>
      <w:pPr>
        <w:pStyle w:val="Heading3"/>
        <w:spacing w:after="80" w:before="200"/>
      </w:pPr>
      <w:r>
        <w:rPr>
          <w:b/>
          <w:bCs/>
          <w:color w:val="0B2E4F"/>
          <w:sz w:val="24"/>
          <w:szCs w:val="24"/>
        </w:rPr>
        <w:t xml:space="preserve">What the app does</w:t>
      </w:r>
    </w:p>
    <w:p>
      <w:pPr>
        <w:spacing w:after="60" w:before="60" w:line="300"/>
      </w:pPr>
      <w:r>
        <w:t xml:space="preserve">Drafts LARs, 50.59 evaluations, RAI responses, and equivalent regulator-specific submittals from structured inputs and the licensing basis. Inherits citation discipline from LIC-01. Surfaces precedent from historical submittals of similar scope (e.g., prior LARs on the same tech spec; comparable RAIs across the fleet), and pre-populates reviewer routing.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Proposed change package (design, procedure, tech spec)</w:t>
            </w:r>
          </w:p>
          <w:p>
            <w:pPr>
              <w:spacing w:after="20" w:before="20" w:line="280"/>
              <w:ind w:left="180" w:hanging="180"/>
            </w:pPr>
            <w:r>
              <w:t xml:space="preserve">•  Licensing basis and commitment register (from LIC-01)</w:t>
            </w:r>
          </w:p>
          <w:p>
            <w:pPr>
              <w:spacing w:after="20" w:before="20" w:line="280"/>
              <w:ind w:left="180" w:hanging="180"/>
            </w:pPr>
            <w:r>
              <w:t xml:space="preserve">•  Historical submittal and RAI library</w:t>
            </w:r>
          </w:p>
          <w:p>
            <w:pPr>
              <w:spacing w:after="20" w:before="20" w:line="280"/>
              <w:ind w:left="180" w:hanging="180"/>
            </w:pPr>
            <w:r>
              <w:t xml:space="preserve">•  Regulator-specific style guide and templates</w:t>
            </w:r>
          </w:p>
          <w:p>
            <w:pPr>
              <w:spacing w:after="20" w:before="20" w:line="280"/>
              <w:ind w:left="180" w:hanging="180"/>
            </w:pPr>
            <w:r>
              <w:t xml:space="preserve">•  PRA results and sensitivity analyses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LAR / RAI response / 50.59 evaluation / COLA supplement</w:t>
            </w:r>
          </w:p>
          <w:p>
            <w:pPr>
              <w:spacing w:after="20" w:before="20" w:line="280"/>
              <w:ind w:left="180" w:hanging="180"/>
            </w:pPr>
            <w:r>
              <w:t xml:space="preserve">•  Precedent citations from prior submittals</w:t>
            </w:r>
          </w:p>
          <w:p>
            <w:pPr>
              <w:spacing w:after="20" w:before="20" w:line="280"/>
              <w:ind w:left="180" w:hanging="180"/>
            </w:pPr>
            <w:r>
              <w:t xml:space="preserve">•  Reviewer routing suggestion with rationale</w:t>
            </w:r>
          </w:p>
          <w:p>
            <w:pPr>
              <w:spacing w:after="20" w:before="20" w:line="280"/>
              <w:ind w:left="180" w:hanging="180"/>
            </w:pPr>
            <w:r>
              <w:t xml:space="preserve">•  Reviewer-ready redline against prior licensing basis</w:t>
            </w:r>
          </w:p>
          <w:p>
            <w:pPr>
              <w:spacing w:after="20" w:before="20" w:line="280"/>
              <w:ind w:left="180" w:hanging="180"/>
            </w:pPr>
            <w:r>
              <w:t xml:space="preserve">•  Regulator package bundle (cover letter, attachments, affidavits)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Submittal workbench with section-by-section drafting UI</w:t>
            </w:r>
          </w:p>
          <w:p>
            <w:pPr>
              <w:spacing w:after="20" w:before="20" w:line="280"/>
              <w:ind w:left="180" w:hanging="180"/>
            </w:pPr>
            <w:r>
              <w:t xml:space="preserve">•  Precedent search panel with source document links</w:t>
            </w:r>
          </w:p>
          <w:p>
            <w:pPr>
              <w:spacing w:after="20" w:before="20" w:line="280"/>
              <w:ind w:left="180" w:hanging="180"/>
            </w:pPr>
            <w:r>
              <w:t xml:space="preserve">•  Reviewer queue and e-signature workflow</w:t>
            </w:r>
          </w:p>
          <w:p>
            <w:pPr>
              <w:spacing w:after="20" w:before="20" w:line="280"/>
              <w:ind w:left="180" w:hanging="180"/>
            </w:pPr>
            <w:r>
              <w:t xml:space="preserve">•  AI Interaction Framework draft + retrieve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Documentum / ProjectWise / SharePoint</w:t>
            </w:r>
          </w:p>
          <w:p>
            <w:pPr>
              <w:spacing w:after="20" w:before="20" w:line="280"/>
              <w:ind w:left="180" w:hanging="180"/>
            </w:pPr>
            <w:r>
              <w:t xml:space="preserve">•  NRC EIE, ADAMS import</w:t>
            </w:r>
          </w:p>
          <w:p>
            <w:pPr>
              <w:spacing w:after="20" w:before="20" w:line="280"/>
              <w:ind w:left="180" w:hanging="180"/>
            </w:pPr>
            <w:r>
              <w:t xml:space="preserve">•  CNSC e-Docs, ONR interfaces</w:t>
            </w:r>
          </w:p>
          <w:p>
            <w:pPr>
              <w:spacing w:after="20" w:before="20" w:line="280"/>
              <w:ind w:left="180" w:hanging="180"/>
            </w:pPr>
            <w:r>
              <w:t xml:space="preserve">•  Configuration management and PRA tools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Licensing engineer of record must review and sign every section</w:t>
            </w:r>
          </w:p>
          <w:p>
            <w:pPr>
              <w:spacing w:after="20" w:before="20" w:line="280"/>
              <w:ind w:left="180" w:hanging="180"/>
            </w:pPr>
            <w:r>
              <w:t xml:space="preserve">•  No autonomous submission under any circumstance</w:t>
            </w:r>
          </w:p>
          <w:p>
            <w:pPr>
              <w:spacing w:after="20" w:before="20" w:line="280"/>
              <w:ind w:left="180" w:hanging="180"/>
            </w:pPr>
            <w:r>
              <w:t xml:space="preserve">•  Every cited precedent linked to ADAMS accession number</w:t>
            </w:r>
          </w:p>
          <w:p>
            <w:pPr>
              <w:spacing w:after="20" w:before="20" w:line="280"/>
              <w:ind w:left="180" w:hanging="180"/>
            </w:pPr>
            <w:r>
              <w:t xml:space="preserve">•  SGI, SRI, and Part 810 content auto-scoped out of external drafts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Time from change request to draft submittal</w:t>
            </w:r>
          </w:p>
          <w:p>
            <w:pPr>
              <w:spacing w:after="20" w:before="20" w:line="280"/>
              <w:ind w:left="180" w:hanging="180"/>
            </w:pPr>
            <w:r>
              <w:t xml:space="preserve">•  Reviewer redline volume per section</w:t>
            </w:r>
          </w:p>
          <w:p>
            <w:pPr>
              <w:spacing w:after="20" w:before="20" w:line="280"/>
              <w:ind w:left="180" w:hanging="180"/>
            </w:pPr>
            <w:r>
              <w:t xml:space="preserve">•  RAI-reopen rate after initial response</w:t>
            </w:r>
          </w:p>
          <w:p>
            <w:pPr>
              <w:spacing w:after="20" w:before="20" w:line="280"/>
              <w:ind w:left="180" w:hanging="180"/>
            </w:pPr>
            <w:r>
              <w:t xml:space="preserve">•  Licensing engineer hours per LAR</w:t>
            </w:r>
          </w:p>
        </w:tc>
      </w:tr>
    </w:tbl>
    <w:p>
      <w:pPr>
        <w:spacing w:before="200"/>
      </w:pPr>
    </w:p>
    <w:p>
      <w:pPr>
        <w:pStyle w:val="Heading2"/>
        <w:spacing w:after="120" w:before="280"/>
      </w:pPr>
      <w:r>
        <w:rPr>
          <w:b/>
          <w:bCs/>
          <w:color w:val="2E5680"/>
          <w:sz w:val="28"/>
          <w:szCs w:val="28"/>
        </w:rPr>
        <w:t xml:space="preserve">LIC-03  ·  10 CFR 50.59 / Design Change Screener &amp; 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Safety Case &amp; Design Engineering</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Decision support &amp; triage (primary); Drafting &amp; generation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Design Engineer; 50.59 Reviewer; Configuration Control Board</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 volume of plant modifications; audit finding on screening rigor.</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Every plant modification, procedure change, and test must be screened — and if applicable, evaluated — under 10 CFR 50.59 (or the equivalent for Canadian, UK, and advanced-reactor regulatory regimes). Screeners face the tradeoff of speed versus defensibility: under-screening exposes the licensee, over-screening floods licensing with unnecessary LARs.</w:t>
      </w:r>
    </w:p>
    <w:p>
      <w:pPr>
        <w:pStyle w:val="Heading3"/>
        <w:spacing w:after="80" w:before="200"/>
      </w:pPr>
      <w:r>
        <w:rPr>
          <w:b/>
          <w:bCs/>
          <w:color w:val="0B2E4F"/>
          <w:sz w:val="24"/>
          <w:szCs w:val="24"/>
        </w:rPr>
        <w:t xml:space="preserve">What the app does</w:t>
      </w:r>
    </w:p>
    <w:p>
      <w:pPr>
        <w:spacing w:after="60" w:before="60" w:line="300"/>
      </w:pPr>
      <w:r>
        <w:t xml:space="preserve">Classifies proposed changes against 50.59 screening criteria, retrieves the relevant UFSAR sections and Tech Spec commitments impacted, drafts the screening form, and — where an evaluation is required — drafts the 50.59 evaluation narrative with explicit citation to FSAR analysis of record and PRA treatment. Every decision is a draft; a qualified 50.59 reviewer approves before closure.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Proposed change description and engineering package</w:t>
            </w:r>
          </w:p>
          <w:p>
            <w:pPr>
              <w:spacing w:after="20" w:before="20" w:line="280"/>
              <w:ind w:left="180" w:hanging="180"/>
            </w:pPr>
            <w:r>
              <w:t xml:space="preserve">•  Licensing basis and commitment register (from LIC-01)</w:t>
            </w:r>
          </w:p>
          <w:p>
            <w:pPr>
              <w:spacing w:after="20" w:before="20" w:line="280"/>
              <w:ind w:left="180" w:hanging="180"/>
            </w:pPr>
            <w:r>
              <w:t xml:space="preserve">•  FSAR / UFSAR sections and analysis of record</w:t>
            </w:r>
          </w:p>
          <w:p>
            <w:pPr>
              <w:spacing w:after="20" w:before="20" w:line="280"/>
              <w:ind w:left="180" w:hanging="180"/>
            </w:pPr>
            <w:r>
              <w:t xml:space="preserve">•  Tech Specs and TS Bases</w:t>
            </w:r>
          </w:p>
          <w:p>
            <w:pPr>
              <w:spacing w:after="20" w:before="20" w:line="280"/>
              <w:ind w:left="180" w:hanging="180"/>
            </w:pPr>
            <w:r>
              <w:t xml:space="preserve">•  Prior 50.59 screenings and evaluations (precedent library)</w:t>
            </w:r>
          </w:p>
          <w:p>
            <w:pPr>
              <w:spacing w:after="20" w:before="20" w:line="280"/>
              <w:ind w:left="180" w:hanging="180"/>
            </w:pPr>
            <w:r>
              <w:t xml:space="preserve">•  PRA model and sensitivity results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50.59 screening with criterion-by-criterion rationale</w:t>
            </w:r>
          </w:p>
          <w:p>
            <w:pPr>
              <w:spacing w:after="20" w:before="20" w:line="280"/>
              <w:ind w:left="180" w:hanging="180"/>
            </w:pPr>
            <w:r>
              <w:t xml:space="preserve">•  Draft 50.59 evaluation narrative when required</w:t>
            </w:r>
          </w:p>
          <w:p>
            <w:pPr>
              <w:spacing w:after="20" w:before="20" w:line="280"/>
              <w:ind w:left="180" w:hanging="180"/>
            </w:pPr>
            <w:r>
              <w:t xml:space="preserve">•  Impacted UFSAR sections, commitments, and PRA elements</w:t>
            </w:r>
          </w:p>
          <w:p>
            <w:pPr>
              <w:spacing w:after="20" w:before="20" w:line="280"/>
              <w:ind w:left="180" w:hanging="180"/>
            </w:pPr>
            <w:r>
              <w:t xml:space="preserve">•  Precedent from prior screenings of similar scope</w:t>
            </w:r>
          </w:p>
          <w:p>
            <w:pPr>
              <w:spacing w:after="20" w:before="20" w:line="280"/>
              <w:ind w:left="180" w:hanging="180"/>
            </w:pPr>
            <w:r>
              <w:t xml:space="preserve">•  Routing recommendation (no evaluation / evaluation required / LAR required)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50.59 screening and evaluation workbench</w:t>
            </w:r>
          </w:p>
          <w:p>
            <w:pPr>
              <w:spacing w:after="20" w:before="20" w:line="280"/>
              <w:ind w:left="180" w:hanging="180"/>
            </w:pPr>
            <w:r>
              <w:t xml:space="preserve">•  Impact graph view (UFSAR / TS / procedure / PRA)</w:t>
            </w:r>
          </w:p>
          <w:p>
            <w:pPr>
              <w:spacing w:after="20" w:before="20" w:line="280"/>
              <w:ind w:left="180" w:hanging="180"/>
            </w:pPr>
            <w:r>
              <w:t xml:space="preserve">•  Precedent search panel</w:t>
            </w:r>
          </w:p>
          <w:p>
            <w:pPr>
              <w:spacing w:after="20" w:before="20" w:line="280"/>
              <w:ind w:left="180" w:hanging="180"/>
            </w:pPr>
            <w:r>
              <w:t xml:space="preserve">•  AI Interaction Framework classify + draft + retrieve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Configuration management (Passport, CMPro)</w:t>
            </w:r>
          </w:p>
          <w:p>
            <w:pPr>
              <w:spacing w:after="20" w:before="20" w:line="280"/>
              <w:ind w:left="180" w:hanging="180"/>
            </w:pPr>
            <w:r>
              <w:t xml:space="preserve">•  Documentum / ProjectWise</w:t>
            </w:r>
          </w:p>
          <w:p>
            <w:pPr>
              <w:spacing w:after="20" w:before="20" w:line="280"/>
              <w:ind w:left="180" w:hanging="180"/>
            </w:pPr>
            <w:r>
              <w:t xml:space="preserve">•  PRA tooling (CAFTA, RiskSpectrum, RAVEN)</w:t>
            </w:r>
          </w:p>
          <w:p>
            <w:pPr>
              <w:spacing w:after="20" w:before="20" w:line="280"/>
              <w:ind w:left="180" w:hanging="180"/>
            </w:pPr>
            <w:r>
              <w:t xml:space="preserve">•  Work management (Maximo, Asset Suite)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Qualified 50.59 reviewer approves every screen and evaluation</w:t>
            </w:r>
          </w:p>
          <w:p>
            <w:pPr>
              <w:spacing w:after="20" w:before="20" w:line="280"/>
              <w:ind w:left="180" w:hanging="180"/>
            </w:pPr>
            <w:r>
              <w:t xml:space="preserve">•  Model outputs always labeled as drafts</w:t>
            </w:r>
          </w:p>
          <w:p>
            <w:pPr>
              <w:spacing w:after="20" w:before="20" w:line="280"/>
              <w:ind w:left="180" w:hanging="180"/>
            </w:pPr>
            <w:r>
              <w:t xml:space="preserve">•  Hard stop if grounding in licensing basis is below confidence threshold</w:t>
            </w:r>
          </w:p>
          <w:p>
            <w:pPr>
              <w:spacing w:after="20" w:before="20" w:line="280"/>
              <w:ind w:left="180" w:hanging="180"/>
            </w:pPr>
            <w:r>
              <w:t xml:space="preserve">•  Immutable record of prompts, retrieved documents, and reviewer decisions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Screening turnaround time</w:t>
            </w:r>
          </w:p>
          <w:p>
            <w:pPr>
              <w:spacing w:after="20" w:before="20" w:line="280"/>
              <w:ind w:left="180" w:hanging="180"/>
            </w:pPr>
            <w:r>
              <w:t xml:space="preserve">•  Evaluation rework rate</w:t>
            </w:r>
          </w:p>
          <w:p>
            <w:pPr>
              <w:spacing w:after="20" w:before="20" w:line="280"/>
              <w:ind w:left="180" w:hanging="180"/>
            </w:pPr>
            <w:r>
              <w:t xml:space="preserve">•  Downstream LAR rate (vs. sites without app)</w:t>
            </w:r>
          </w:p>
          <w:p>
            <w:pPr>
              <w:spacing w:after="20" w:before="20" w:line="280"/>
              <w:ind w:left="180" w:hanging="180"/>
            </w:pPr>
            <w:r>
              <w:t xml:space="preserve">•  Audit-finding rate on 50.59 program</w:t>
            </w:r>
          </w:p>
        </w:tc>
      </w:tr>
    </w:tbl>
    <w:p>
      <w:pPr>
        <w:spacing w:before="200"/>
      </w:pPr>
    </w:p>
    <w:p>
      <w:pPr>
        <w:pStyle w:val="Heading2"/>
        <w:spacing w:after="120" w:before="280"/>
      </w:pPr>
      <w:r>
        <w:rPr>
          <w:b/>
          <w:bCs/>
          <w:color w:val="2E5680"/>
          <w:sz w:val="28"/>
          <w:szCs w:val="28"/>
        </w:rPr>
        <w:t xml:space="preserve">LIC-04  ·  PSA / PRA Narrative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Safety Case &amp; Design Engineering</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Guided copilot (primary); Document intelligence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PRA Manager; Risk-Informed Engineering Lead; Licensing Reviewer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Risk-informed application; PRA model update; NFPA-805 implementation; fusion-era integrated safety analysis.</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PRA / PSA models (CAFTA, RiskSpectrum, RAVEN) produce quantitative results, but translating those results into defensible narratives — for risk-informed applications, peer reviews, LARs, and regulator interactions — is slow and uneven across the fleet. The model owner is typically not the person who has to write the narrative, and narrative quality is often the pacing item.</w:t>
      </w:r>
    </w:p>
    <w:p>
      <w:pPr>
        <w:pStyle w:val="Heading3"/>
        <w:spacing w:after="80" w:before="200"/>
      </w:pPr>
      <w:r>
        <w:rPr>
          <w:b/>
          <w:bCs/>
          <w:color w:val="0B2E4F"/>
          <w:sz w:val="24"/>
          <w:szCs w:val="24"/>
        </w:rPr>
        <w:t xml:space="preserve">What the app does</w:t>
      </w:r>
    </w:p>
    <w:p>
      <w:pPr>
        <w:spacing w:after="60" w:before="60" w:line="300"/>
      </w:pPr>
      <w:r>
        <w:t xml:space="preserve">Role-scoped chat copilot grounded in the PRA model structure (fault trees, event trees, basic events, common-cause groups, HRA) and the model's documentation. Answers questions with citations to the model and its supporting documents, drafts sections of the risk narrative for LARs and peer reviews, explains dominant contributors in plain language, and surfaces changes since the prior baseline. Read-only access to the PRA model; no edits.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PRA / PSA model exports (fault trees, event trees, CCF groups, HRA)</w:t>
            </w:r>
          </w:p>
          <w:p>
            <w:pPr>
              <w:spacing w:after="20" w:before="20" w:line="280"/>
              <w:ind w:left="180" w:hanging="180"/>
            </w:pPr>
            <w:r>
              <w:t xml:space="preserve">•  PRA supporting notebooks and model documentation</w:t>
            </w:r>
          </w:p>
          <w:p>
            <w:pPr>
              <w:spacing w:after="20" w:before="20" w:line="280"/>
              <w:ind w:left="180" w:hanging="180"/>
            </w:pPr>
            <w:r>
              <w:t xml:space="preserve">•  Current quantification results and sensitivity studies</w:t>
            </w:r>
          </w:p>
          <w:p>
            <w:pPr>
              <w:spacing w:after="20" w:before="20" w:line="280"/>
              <w:ind w:left="180" w:hanging="180"/>
            </w:pPr>
            <w:r>
              <w:t xml:space="preserve">•  Licensing basis and commitment register (from LIC-01)</w:t>
            </w:r>
          </w:p>
          <w:p>
            <w:pPr>
              <w:spacing w:after="20" w:before="20" w:line="280"/>
              <w:ind w:left="180" w:hanging="180"/>
            </w:pPr>
            <w:r>
              <w:t xml:space="preserve">•  Regulator guidance (NRC RG 1.200, RG 1.174, CNSC equivalents)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Cited answers to risk questions with references to model structure</w:t>
            </w:r>
          </w:p>
          <w:p>
            <w:pPr>
              <w:spacing w:after="20" w:before="20" w:line="280"/>
              <w:ind w:left="180" w:hanging="180"/>
            </w:pPr>
            <w:r>
              <w:t xml:space="preserve">•  Draft narrative sections for LARs and peer reviews</w:t>
            </w:r>
          </w:p>
          <w:p>
            <w:pPr>
              <w:spacing w:after="20" w:before="20" w:line="280"/>
              <w:ind w:left="180" w:hanging="180"/>
            </w:pPr>
            <w:r>
              <w:t xml:space="preserve">•  Dominant contributor summary with plain-language explanation</w:t>
            </w:r>
          </w:p>
          <w:p>
            <w:pPr>
              <w:spacing w:after="20" w:before="20" w:line="280"/>
              <w:ind w:left="180" w:hanging="180"/>
            </w:pPr>
            <w:r>
              <w:t xml:space="preserve">•  Change summary since prior PRA baseline</w:t>
            </w:r>
          </w:p>
          <w:p>
            <w:pPr>
              <w:spacing w:after="20" w:before="20" w:line="280"/>
              <w:ind w:left="180" w:hanging="180"/>
            </w:pPr>
            <w:r>
              <w:t xml:space="preserve">•  Reviewer-ready gap list against regulator guidance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Risk narrative workbench with persona-scoped chat UI</w:t>
            </w:r>
          </w:p>
          <w:p>
            <w:pPr>
              <w:spacing w:after="20" w:before="20" w:line="280"/>
              <w:ind w:left="180" w:hanging="180"/>
            </w:pPr>
            <w:r>
              <w:t xml:space="preserve">•  PRA model browser (fault-tree / event-tree viewer)</w:t>
            </w:r>
          </w:p>
          <w:p>
            <w:pPr>
              <w:spacing w:after="20" w:before="20" w:line="280"/>
              <w:ind w:left="180" w:hanging="180"/>
            </w:pPr>
            <w:r>
              <w:t xml:space="preserve">•  Peer review action and finding tracker</w:t>
            </w:r>
          </w:p>
          <w:p>
            <w:pPr>
              <w:spacing w:after="20" w:before="20" w:line="280"/>
              <w:ind w:left="180" w:hanging="180"/>
            </w:pPr>
            <w:r>
              <w:t xml:space="preserve">•  AI Interaction Framework answer-with-citations + draft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PRA tooling (CAFTA, RiskSpectrum, RAVEN)</w:t>
            </w:r>
          </w:p>
          <w:p>
            <w:pPr>
              <w:spacing w:after="20" w:before="20" w:line="280"/>
              <w:ind w:left="180" w:hanging="180"/>
            </w:pPr>
            <w:r>
              <w:t xml:space="preserve">•  HRA tooling (HuRECA, SPAR-H datasets)</w:t>
            </w:r>
          </w:p>
          <w:p>
            <w:pPr>
              <w:spacing w:after="20" w:before="20" w:line="280"/>
              <w:ind w:left="180" w:hanging="180"/>
            </w:pPr>
            <w:r>
              <w:t xml:space="preserve">•  Documentum / ProjectWise</w:t>
            </w:r>
          </w:p>
          <w:p>
            <w:pPr>
              <w:spacing w:after="20" w:before="20" w:line="280"/>
              <w:ind w:left="180" w:hanging="180"/>
            </w:pPr>
            <w:r>
              <w:t xml:space="preserve">•  Risk-informed application workflow systems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Read-only access to PRA model — no edits possible through copilot</w:t>
            </w:r>
          </w:p>
          <w:p>
            <w:pPr>
              <w:spacing w:after="20" w:before="20" w:line="280"/>
              <w:ind w:left="180" w:hanging="180"/>
            </w:pPr>
            <w:r>
              <w:t xml:space="preserve">•  Every answer cites the model element or source document</w:t>
            </w:r>
          </w:p>
          <w:p>
            <w:pPr>
              <w:spacing w:after="20" w:before="20" w:line="280"/>
              <w:ind w:left="180" w:hanging="180"/>
            </w:pPr>
            <w:r>
              <w:t xml:space="preserve">•  Refuse-if-ungrounded default when risk numbers are requested</w:t>
            </w:r>
          </w:p>
          <w:p>
            <w:pPr>
              <w:spacing w:after="20" w:before="20" w:line="280"/>
              <w:ind w:left="180" w:hanging="180"/>
            </w:pPr>
            <w:r>
              <w:t xml:space="preserve">•  Session transcripts retained for audit and peer-review traceability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Prep hours per risk-informed application</w:t>
            </w:r>
          </w:p>
          <w:p>
            <w:pPr>
              <w:spacing w:after="20" w:before="20" w:line="280"/>
              <w:ind w:left="180" w:hanging="180"/>
            </w:pPr>
            <w:r>
              <w:t xml:space="preserve">•  Peer-review finding rate on narrative quality</w:t>
            </w:r>
          </w:p>
          <w:p>
            <w:pPr>
              <w:spacing w:after="20" w:before="20" w:line="280"/>
              <w:ind w:left="180" w:hanging="180"/>
            </w:pPr>
            <w:r>
              <w:t xml:space="preserve">•  Time to resolve regulator RAIs on PRA</w:t>
            </w:r>
          </w:p>
          <w:p>
            <w:pPr>
              <w:spacing w:after="20" w:before="20" w:line="280"/>
              <w:ind w:left="180" w:hanging="180"/>
            </w:pPr>
            <w:r>
              <w:t xml:space="preserve">•  Model-change documentation cycle time</w:t>
            </w:r>
          </w:p>
        </w:tc>
      </w:tr>
    </w:tbl>
    <w:p>
      <w:pPr>
        <w:spacing w:before="200"/>
      </w:pPr>
    </w:p>
    <w:p>
      <w:pPr>
        <w:pStyle w:val="Heading2"/>
        <w:spacing w:after="120" w:before="280"/>
      </w:pPr>
      <w:r>
        <w:rPr>
          <w:b/>
          <w:bCs/>
          <w:color w:val="2E5680"/>
          <w:sz w:val="28"/>
          <w:szCs w:val="28"/>
        </w:rPr>
        <w:t xml:space="preserve">LIC-05  ·  Nuclear-Grade Supply Chain &amp; CFSI Qualification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Licensing, Safety Case &amp; Design Engineering</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Decision support &amp; triage (primary); Drafting &amp; generation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Procurement Engineer; Supplier Quality Manager; Counterfeit, Fraudulent, and Suspect Items (CFSI) Program Lead</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CFR Part 21 event; CFSI finding; qualification backlog for SMR first-of-a-kind builds.</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Safety-related and commercial-grade-dedicated items must be qualified against 10 CFR 50 Appendix B, NQA-1, and — for first-of-a-kind builds — novel part families with limited precedent. Meanwhile, CFSI risk is rising, with reports of falsified certificates, reballed semiconductors, and counterfeit fasteners reaching nuclear supply chains. Procurement engineers manually reconcile supplier audits, NCRs, Part 21 reports, and industry OpEx, which is slow and prone to miss signals.</w:t>
      </w:r>
    </w:p>
    <w:p>
      <w:pPr>
        <w:pStyle w:val="Heading3"/>
        <w:spacing w:after="80" w:before="200"/>
      </w:pPr>
      <w:r>
        <w:rPr>
          <w:b/>
          <w:bCs/>
          <w:color w:val="0B2E4F"/>
          <w:sz w:val="24"/>
          <w:szCs w:val="24"/>
        </w:rPr>
        <w:t xml:space="preserve">What the app does</w:t>
      </w:r>
    </w:p>
    <w:p>
      <w:pPr>
        <w:spacing w:after="60" w:before="60" w:line="300"/>
      </w:pPr>
      <w:r>
        <w:t xml:space="preserve">Continuously ingests Part 21 reports, INPO OpEx, NRC IN / RIS / Bulletins, industry CFSI advisories, NCRs, and supplier audit history. Scores each candidate supplier and item against qualification criteria, drafts commercial-grade-dedication (CGD) technical evaluations, and flags CFSI indicators (pricing anomalies, provenance gaps, supplier-history red flags) for human review.</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Supplier master and item catalog</w:t>
            </w:r>
          </w:p>
          <w:p>
            <w:pPr>
              <w:spacing w:after="20" w:before="20" w:line="280"/>
              <w:ind w:left="180" w:hanging="180"/>
            </w:pPr>
            <w:r>
              <w:t xml:space="preserve">•  10 CFR Part 21 reports and NRC RIS / Bulletins</w:t>
            </w:r>
          </w:p>
          <w:p>
            <w:pPr>
              <w:spacing w:after="20" w:before="20" w:line="280"/>
              <w:ind w:left="180" w:hanging="180"/>
            </w:pPr>
            <w:r>
              <w:t xml:space="preserve">•  INPO / WANO OpEx relevant to supply chain</w:t>
            </w:r>
          </w:p>
          <w:p>
            <w:pPr>
              <w:spacing w:after="20" w:before="20" w:line="280"/>
              <w:ind w:left="180" w:hanging="180"/>
            </w:pPr>
            <w:r>
              <w:t xml:space="preserve">•  NCRs, supplier audits, receipt inspection records</w:t>
            </w:r>
          </w:p>
          <w:p>
            <w:pPr>
              <w:spacing w:after="20" w:before="20" w:line="280"/>
              <w:ind w:left="180" w:hanging="180"/>
            </w:pPr>
            <w:r>
              <w:t xml:space="preserve">•  Industry CFSI advisories and databases</w:t>
            </w:r>
          </w:p>
          <w:p>
            <w:pPr>
              <w:spacing w:after="20" w:before="20" w:line="280"/>
              <w:ind w:left="180" w:hanging="180"/>
            </w:pPr>
            <w:r>
              <w:t xml:space="preserve">•  Certificates of conformance and test reports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Supplier and item risk score with factor attribution</w:t>
            </w:r>
          </w:p>
          <w:p>
            <w:pPr>
              <w:spacing w:after="20" w:before="20" w:line="280"/>
              <w:ind w:left="180" w:hanging="180"/>
            </w:pPr>
            <w:r>
              <w:t xml:space="preserve">•  CFSI red-flag report with supporting evidence</w:t>
            </w:r>
          </w:p>
          <w:p>
            <w:pPr>
              <w:spacing w:after="20" w:before="20" w:line="280"/>
              <w:ind w:left="180" w:hanging="180"/>
            </w:pPr>
            <w:r>
              <w:t xml:space="preserve">•  Draft commercial-grade-dedication (CGD) evaluation</w:t>
            </w:r>
          </w:p>
          <w:p>
            <w:pPr>
              <w:spacing w:after="20" w:before="20" w:line="280"/>
              <w:ind w:left="180" w:hanging="180"/>
            </w:pPr>
            <w:r>
              <w:t xml:space="preserve">•  Recommended receipt inspection and test plan</w:t>
            </w:r>
          </w:p>
          <w:p>
            <w:pPr>
              <w:spacing w:after="20" w:before="20" w:line="280"/>
              <w:ind w:left="180" w:hanging="180"/>
            </w:pPr>
            <w:r>
              <w:t xml:space="preserve">•  Audit trail of signals considered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Supplier / Item / RiskEvent / Factor entities</w:t>
            </w:r>
          </w:p>
          <w:p>
            <w:pPr>
              <w:spacing w:after="20" w:before="20" w:line="280"/>
              <w:ind w:left="180" w:hanging="180"/>
            </w:pPr>
            <w:r>
              <w:t xml:space="preserve">•  CGD workbench with critical-characteristics picker</w:t>
            </w:r>
          </w:p>
          <w:p>
            <w:pPr>
              <w:spacing w:after="20" w:before="20" w:line="280"/>
              <w:ind w:left="180" w:hanging="180"/>
            </w:pPr>
            <w:r>
              <w:t xml:space="preserve">•  Receipt-inspection planner</w:t>
            </w:r>
          </w:p>
          <w:p>
            <w:pPr>
              <w:spacing w:after="20" w:before="20" w:line="280"/>
              <w:ind w:left="180" w:hanging="180"/>
            </w:pPr>
            <w:r>
              <w:t xml:space="preserve">•  AI Interaction Framework classify + draft + retrieve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ERP (SAP, Maximo, Asset Suite)</w:t>
            </w:r>
          </w:p>
          <w:p>
            <w:pPr>
              <w:spacing w:after="20" w:before="20" w:line="280"/>
              <w:ind w:left="180" w:hanging="180"/>
            </w:pPr>
            <w:r>
              <w:t xml:space="preserve">•  Supplier portals and audit systems</w:t>
            </w:r>
          </w:p>
          <w:p>
            <w:pPr>
              <w:spacing w:after="20" w:before="20" w:line="280"/>
              <w:ind w:left="180" w:hanging="180"/>
            </w:pPr>
            <w:r>
              <w:t xml:space="preserve">•  NRC ADAMS for Part 21 and IN retrieval</w:t>
            </w:r>
          </w:p>
          <w:p>
            <w:pPr>
              <w:spacing w:after="20" w:before="20" w:line="280"/>
              <w:ind w:left="180" w:hanging="180"/>
            </w:pPr>
            <w:r>
              <w:t xml:space="preserve">•  INPO / WANO OpEx database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Procurement engineer approval required before qualification</w:t>
            </w:r>
          </w:p>
          <w:p>
            <w:pPr>
              <w:spacing w:after="20" w:before="20" w:line="280"/>
              <w:ind w:left="180" w:hanging="180"/>
            </w:pPr>
            <w:r>
              <w:t xml:space="preserve">•  Every risk factor cites its source record</w:t>
            </w:r>
          </w:p>
          <w:p>
            <w:pPr>
              <w:spacing w:after="20" w:before="20" w:line="280"/>
              <w:ind w:left="180" w:hanging="180"/>
            </w:pPr>
            <w:r>
              <w:t xml:space="preserve">•  CGD evaluations always drafts, never autonomous</w:t>
            </w:r>
          </w:p>
          <w:p>
            <w:pPr>
              <w:spacing w:after="20" w:before="20" w:line="280"/>
              <w:ind w:left="180" w:hanging="180"/>
            </w:pPr>
            <w:r>
              <w:t xml:space="preserve">•  Full audit log exported for QA and NRC inspection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Qualification cycle time</w:t>
            </w:r>
          </w:p>
          <w:p>
            <w:pPr>
              <w:spacing w:after="20" w:before="20" w:line="280"/>
              <w:ind w:left="180" w:hanging="180"/>
            </w:pPr>
            <w:r>
              <w:t xml:space="preserve">•  CFSI escape rate (parts installed and later flagged)</w:t>
            </w:r>
          </w:p>
          <w:p>
            <w:pPr>
              <w:spacing w:after="20" w:before="20" w:line="280"/>
              <w:ind w:left="180" w:hanging="180"/>
            </w:pPr>
            <w:r>
              <w:t xml:space="preserve">•  Part 21 response cycle time</w:t>
            </w:r>
          </w:p>
          <w:p>
            <w:pPr>
              <w:spacing w:after="20" w:before="20" w:line="280"/>
              <w:ind w:left="180" w:hanging="180"/>
            </w:pPr>
            <w:r>
              <w:t xml:space="preserve">•  Procurement engineer hours per qualification</w:t>
            </w:r>
          </w:p>
        </w:tc>
      </w:tr>
    </w:tbl>
    <w:p>
      <w:pPr>
        <w:spacing w:before="200"/>
      </w:pPr>
    </w:p>
    <w:p>
      <w:pPr>
        <w:pStyle w:val="Heading1"/>
        <w:spacing w:after="160" w:before="320"/>
      </w:pPr>
      <w:r>
        <w:rPr>
          <w:b/>
          <w:bCs/>
          <w:color w:val="0B2E4F"/>
          <w:sz w:val="36"/>
          <w:szCs w:val="36"/>
        </w:rPr>
        <w:t xml:space="preserve">Domain 2 · Fleet Operations, Maintenance &amp; Human Performance</w:t>
      </w:r>
    </w:p>
    <w:p>
      <w:pPr>
        <w:spacing w:after="60" w:before="60" w:line="300"/>
      </w:pPr>
      <w:r>
        <w:t xml:space="preserve">Value is realized where fuel is loaded, plants are operated, and reliability is sustained. These five apps bring governed AI to operating experience review, control room turnover, procedure authoring, outage planning, and predictive-maintenance action planning — always with role-based scoping, read-only grounding on safety-significant content, and qualified human approval for anything consequential.</w:t>
      </w:r>
    </w:p>
    <w:p>
      <w:pPr>
        <w:pStyle w:val="Heading2"/>
        <w:spacing w:after="120" w:before="280"/>
      </w:pPr>
      <w:r>
        <w:rPr>
          <w:b/>
          <w:bCs/>
          <w:color w:val="2E5680"/>
          <w:sz w:val="28"/>
          <w:szCs w:val="28"/>
        </w:rPr>
        <w:t xml:space="preserve">OPS-01  ·  Operating Experience (OpEx)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Fleet Operations, Maintenance &amp; Human Performance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Decision support &amp; triage (primary); Document intelligence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OpEx Program Manager; Fleet Reliability Engineer; System Engineer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Audit finding on OpEx program; recurrence of an industry event locally.</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The nuclear industry produces enormous volumes of operating experience — INPO IERs, SOERs, SERs, WANO event reports, NRC IN / IRs / LERs, licensee event reports from peers, and internal CRs. Fleet OpEx programs receive thousands of records per year. The persistent question is not whether the operator has access to the record but whether the right person at the right plant, system, or component sees the record in time to act on it before the event recurs locally.</w:t>
      </w:r>
    </w:p>
    <w:p>
      <w:pPr>
        <w:pStyle w:val="Heading3"/>
        <w:spacing w:after="80" w:before="200"/>
      </w:pPr>
      <w:r>
        <w:rPr>
          <w:b/>
          <w:bCs/>
          <w:color w:val="0B2E4F"/>
          <w:sz w:val="24"/>
          <w:szCs w:val="24"/>
        </w:rPr>
        <w:t xml:space="preserve">What the app does</w:t>
      </w:r>
    </w:p>
    <w:p>
      <w:pPr>
        <w:spacing w:after="60" w:before="60" w:line="300"/>
      </w:pPr>
      <w:r>
        <w:t xml:space="preserve">Continuously ingests industry OpEx (INPO, WANO, NRC) and internal condition reports, classifies by system / component / human-performance dimension, scores relevance to each plant and unit, drafts applicability determinations, and surfaces trends across the fleet. Links every determination to the source record and to the local equipment or procedure candidate for action.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INPO IERs, SOERs, SERs, WANO event reports</w:t>
            </w:r>
          </w:p>
          <w:p>
            <w:pPr>
              <w:spacing w:after="20" w:before="20" w:line="280"/>
              <w:ind w:left="180" w:hanging="180"/>
            </w:pPr>
            <w:r>
              <w:t xml:space="preserve">•  NRC Information Notices, Bulletins, Generic Letters, LERs</w:t>
            </w:r>
          </w:p>
          <w:p>
            <w:pPr>
              <w:spacing w:after="20" w:before="20" w:line="280"/>
              <w:ind w:left="180" w:hanging="180"/>
            </w:pPr>
            <w:r>
              <w:t xml:space="preserve">•  Internal condition reports (CRs / CAPs)</w:t>
            </w:r>
          </w:p>
          <w:p>
            <w:pPr>
              <w:spacing w:after="20" w:before="20" w:line="280"/>
              <w:ind w:left="180" w:hanging="180"/>
            </w:pPr>
            <w:r>
              <w:t xml:space="preserve">•  Plant system / component master and procedures index</w:t>
            </w:r>
          </w:p>
          <w:p>
            <w:pPr>
              <w:spacing w:after="20" w:before="20" w:line="280"/>
              <w:ind w:left="180" w:hanging="180"/>
            </w:pPr>
            <w:r>
              <w:t xml:space="preserve">•  Prior applicability determinations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Classified OpEx records with system / component tags</w:t>
            </w:r>
          </w:p>
          <w:p>
            <w:pPr>
              <w:spacing w:after="20" w:before="20" w:line="280"/>
              <w:ind w:left="180" w:hanging="180"/>
            </w:pPr>
            <w:r>
              <w:t xml:space="preserve">•  Per-plant, per-unit relevance score with rationale</w:t>
            </w:r>
          </w:p>
          <w:p>
            <w:pPr>
              <w:spacing w:after="20" w:before="20" w:line="280"/>
              <w:ind w:left="180" w:hanging="180"/>
            </w:pPr>
            <w:r>
              <w:t xml:space="preserve">•  Draft applicability determination for reviewer</w:t>
            </w:r>
          </w:p>
          <w:p>
            <w:pPr>
              <w:spacing w:after="20" w:before="20" w:line="280"/>
              <w:ind w:left="180" w:hanging="180"/>
            </w:pPr>
            <w:r>
              <w:t xml:space="preserve">•  Trend dashboard (cross-fleet recurrence, leading indicators)</w:t>
            </w:r>
          </w:p>
          <w:p>
            <w:pPr>
              <w:spacing w:after="20" w:before="20" w:line="280"/>
              <w:ind w:left="180" w:hanging="180"/>
            </w:pPr>
            <w:r>
              <w:t xml:space="preserve">•  Action recommendations linked to procedures or equipment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OpEx cockpit (plant view, fleet view, trend view)</w:t>
            </w:r>
          </w:p>
          <w:p>
            <w:pPr>
              <w:spacing w:after="20" w:before="20" w:line="280"/>
              <w:ind w:left="180" w:hanging="180"/>
            </w:pPr>
            <w:r>
              <w:t xml:space="preserve">•  Applicability determination workbench</w:t>
            </w:r>
          </w:p>
          <w:p>
            <w:pPr>
              <w:spacing w:after="20" w:before="20" w:line="280"/>
              <w:ind w:left="180" w:hanging="180"/>
            </w:pPr>
            <w:r>
              <w:t xml:space="preserve">•  Action tracker integrated with CAP</w:t>
            </w:r>
          </w:p>
          <w:p>
            <w:pPr>
              <w:spacing w:after="20" w:before="20" w:line="280"/>
              <w:ind w:left="180" w:hanging="180"/>
            </w:pPr>
            <w:r>
              <w:t xml:space="preserve">•  AI Interaction Framework classify + score + draft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INPO / WANO OpEx feeds</w:t>
            </w:r>
          </w:p>
          <w:p>
            <w:pPr>
              <w:spacing w:after="20" w:before="20" w:line="280"/>
              <w:ind w:left="180" w:hanging="180"/>
            </w:pPr>
            <w:r>
              <w:t xml:space="preserve">•  NRC ADAMS retrieval</w:t>
            </w:r>
          </w:p>
          <w:p>
            <w:pPr>
              <w:spacing w:after="20" w:before="20" w:line="280"/>
              <w:ind w:left="180" w:hanging="180"/>
            </w:pPr>
            <w:r>
              <w:t xml:space="preserve">•  Corrective Action Program (Passport, Maximo, IMPACT)</w:t>
            </w:r>
          </w:p>
          <w:p>
            <w:pPr>
              <w:spacing w:after="20" w:before="20" w:line="280"/>
              <w:ind w:left="180" w:hanging="180"/>
            </w:pPr>
            <w:r>
              <w:t xml:space="preserve">•  Procedures and system-engineer knowledge bases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Reviewer approval required before closure of applicability</w:t>
            </w:r>
          </w:p>
          <w:p>
            <w:pPr>
              <w:spacing w:after="20" w:before="20" w:line="280"/>
              <w:ind w:left="180" w:hanging="180"/>
            </w:pPr>
            <w:r>
              <w:t xml:space="preserve">•  Every determination cites the source record</w:t>
            </w:r>
          </w:p>
          <w:p>
            <w:pPr>
              <w:spacing w:after="20" w:before="20" w:line="280"/>
              <w:ind w:left="180" w:hanging="180"/>
            </w:pPr>
            <w:r>
              <w:t xml:space="preserve">•  SGI and sensitive topics scoped by role</w:t>
            </w:r>
          </w:p>
          <w:p>
            <w:pPr>
              <w:spacing w:after="20" w:before="20" w:line="280"/>
              <w:ind w:left="180" w:hanging="180"/>
            </w:pPr>
            <w:r>
              <w:t xml:space="preserve">•  No autonomous CAP entries — copilot proposes, reviewer commits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 records with applicability determined within SLA</w:t>
            </w:r>
          </w:p>
          <w:p>
            <w:pPr>
              <w:spacing w:after="20" w:before="20" w:line="280"/>
              <w:ind w:left="180" w:hanging="180"/>
            </w:pPr>
            <w:r>
              <w:t xml:space="preserve">•  Local recurrence rate of industry events</w:t>
            </w:r>
          </w:p>
          <w:p>
            <w:pPr>
              <w:spacing w:after="20" w:before="20" w:line="280"/>
              <w:ind w:left="180" w:hanging="180"/>
            </w:pPr>
            <w:r>
              <w:t xml:space="preserve">•  Hours per applicability determination</w:t>
            </w:r>
          </w:p>
          <w:p>
            <w:pPr>
              <w:spacing w:after="20" w:before="20" w:line="280"/>
              <w:ind w:left="180" w:hanging="180"/>
            </w:pPr>
            <w:r>
              <w:t xml:space="preserve">•  Leading-indicator trend capture rate</w:t>
            </w:r>
          </w:p>
        </w:tc>
      </w:tr>
    </w:tbl>
    <w:p>
      <w:pPr>
        <w:spacing w:before="200"/>
      </w:pPr>
    </w:p>
    <w:p>
      <w:pPr>
        <w:pStyle w:val="Heading2"/>
        <w:spacing w:after="120" w:before="280"/>
      </w:pPr>
      <w:r>
        <w:rPr>
          <w:b/>
          <w:bCs/>
          <w:color w:val="2E5680"/>
          <w:sz w:val="28"/>
          <w:szCs w:val="28"/>
        </w:rPr>
        <w:t xml:space="preserve">OPS-02  ·  Control Room Log Triage &amp; Shift Turnover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Fleet Operations, Maintenance &amp; Human Performance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Document intelligence (primary); Guided copilot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Shift Manager; Unit Supervisor; Control Room Supervisor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Human-performance event tied to weak turnover; fleet standardization initiative.</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Control room logs, shift turnover narratives, and watchstander rounds generate thousands of free-text entries per week. Critical trends — a slowly drifting parameter, a repeated alarm, an abnormal log entry across two shifts — are easy to miss during fast-paced turnovers. Human-performance events frequently trace to missed signals in the narrative record, not to missing data.</w:t>
      </w:r>
    </w:p>
    <w:p>
      <w:pPr>
        <w:pStyle w:val="Heading3"/>
        <w:spacing w:after="80" w:before="200"/>
      </w:pPr>
      <w:r>
        <w:rPr>
          <w:b/>
          <w:bCs/>
          <w:color w:val="0B2E4F"/>
          <w:sz w:val="24"/>
          <w:szCs w:val="24"/>
        </w:rPr>
        <w:t xml:space="preserve">What the app does</w:t>
      </w:r>
    </w:p>
    <w:p>
      <w:pPr>
        <w:spacing w:after="60" w:before="60" w:line="300"/>
      </w:pPr>
      <w:r>
        <w:t xml:space="preserve">Continuously ingests operator logs, alarm history, and turnover narratives. Classifies entries, clusters recurring abnormal conditions, drafts a concise turnover summary with open items and watch-points, and answers shift-manager questions with citations. Read-only with respect to plant systems; the copilot never takes an action.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Control room and watchstander logs</w:t>
            </w:r>
          </w:p>
          <w:p>
            <w:pPr>
              <w:spacing w:after="20" w:before="20" w:line="280"/>
              <w:ind w:left="180" w:hanging="180"/>
            </w:pPr>
            <w:r>
              <w:t xml:space="preserve">•  Alarm and annunciator history</w:t>
            </w:r>
          </w:p>
          <w:p>
            <w:pPr>
              <w:spacing w:after="20" w:before="20" w:line="280"/>
              <w:ind w:left="180" w:hanging="180"/>
            </w:pPr>
            <w:r>
              <w:t xml:space="preserve">•  Prior shift turnover narratives</w:t>
            </w:r>
          </w:p>
          <w:p>
            <w:pPr>
              <w:spacing w:after="20" w:before="20" w:line="280"/>
              <w:ind w:left="180" w:hanging="180"/>
            </w:pPr>
            <w:r>
              <w:t xml:space="preserve">•  Tech Spec action statements and LCO status</w:t>
            </w:r>
          </w:p>
          <w:p>
            <w:pPr>
              <w:spacing w:after="20" w:before="20" w:line="280"/>
              <w:ind w:left="180" w:hanging="180"/>
            </w:pPr>
            <w:r>
              <w:t xml:space="preserve">•  Work-order and equipment-status sources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shift turnover summary with open items</w:t>
            </w:r>
          </w:p>
          <w:p>
            <w:pPr>
              <w:spacing w:after="20" w:before="20" w:line="280"/>
              <w:ind w:left="180" w:hanging="180"/>
            </w:pPr>
            <w:r>
              <w:t xml:space="preserve">•  Clustered recurring abnormal conditions</w:t>
            </w:r>
          </w:p>
          <w:p>
            <w:pPr>
              <w:spacing w:after="20" w:before="20" w:line="280"/>
              <w:ind w:left="180" w:hanging="180"/>
            </w:pPr>
            <w:r>
              <w:t xml:space="preserve">•  Cited answers to shift-manager questions</w:t>
            </w:r>
          </w:p>
          <w:p>
            <w:pPr>
              <w:spacing w:after="20" w:before="20" w:line="280"/>
              <w:ind w:left="180" w:hanging="180"/>
            </w:pPr>
            <w:r>
              <w:t xml:space="preserve">•  Watch-point recommendations for next shift</w:t>
            </w:r>
          </w:p>
          <w:p>
            <w:pPr>
              <w:spacing w:after="20" w:before="20" w:line="280"/>
              <w:ind w:left="180" w:hanging="180"/>
            </w:pPr>
            <w:r>
              <w:t xml:space="preserve">•  Trend view for unit supervisor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Shift turnover workbench and briefing view</w:t>
            </w:r>
          </w:p>
          <w:p>
            <w:pPr>
              <w:spacing w:after="20" w:before="20" w:line="280"/>
              <w:ind w:left="180" w:hanging="180"/>
            </w:pPr>
            <w:r>
              <w:t xml:space="preserve">•  Cluster and trend visualization</w:t>
            </w:r>
          </w:p>
          <w:p>
            <w:pPr>
              <w:spacing w:after="20" w:before="20" w:line="280"/>
              <w:ind w:left="180" w:hanging="180"/>
            </w:pPr>
            <w:r>
              <w:t xml:space="preserve">•  Unit supervisor dashboard</w:t>
            </w:r>
          </w:p>
          <w:p>
            <w:pPr>
              <w:spacing w:after="20" w:before="20" w:line="280"/>
              <w:ind w:left="180" w:hanging="180"/>
            </w:pPr>
            <w:r>
              <w:t xml:space="preserve">•  AI Interaction Framework classify + cluster + answer-with-citations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Plant historian (PI, Canary)</w:t>
            </w:r>
          </w:p>
          <w:p>
            <w:pPr>
              <w:spacing w:after="20" w:before="20" w:line="280"/>
              <w:ind w:left="180" w:hanging="180"/>
            </w:pPr>
            <w:r>
              <w:t xml:space="preserve">•  Alarm management systems</w:t>
            </w:r>
          </w:p>
          <w:p>
            <w:pPr>
              <w:spacing w:after="20" w:before="20" w:line="280"/>
              <w:ind w:left="180" w:hanging="180"/>
            </w:pPr>
            <w:r>
              <w:t xml:space="preserve">•  Operator logbook systems</w:t>
            </w:r>
          </w:p>
          <w:p>
            <w:pPr>
              <w:spacing w:after="20" w:before="20" w:line="280"/>
              <w:ind w:left="180" w:hanging="180"/>
            </w:pPr>
            <w:r>
              <w:t xml:space="preserve">•  Work management (Maximo, Asset Suite)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Read-only — no plant actions possible through the app</w:t>
            </w:r>
          </w:p>
          <w:p>
            <w:pPr>
              <w:spacing w:after="20" w:before="20" w:line="280"/>
              <w:ind w:left="180" w:hanging="180"/>
            </w:pPr>
            <w:r>
              <w:t xml:space="preserve">•  Every turnover item cites the originating log entry</w:t>
            </w:r>
          </w:p>
          <w:p>
            <w:pPr>
              <w:spacing w:after="20" w:before="20" w:line="280"/>
              <w:ind w:left="180" w:hanging="180"/>
            </w:pPr>
            <w:r>
              <w:t xml:space="preserve">•  Licensed-operator-sensitive content (e.g., Tech Spec interpretation) routed to SRO review</w:t>
            </w:r>
          </w:p>
          <w:p>
            <w:pPr>
              <w:spacing w:after="20" w:before="20" w:line="280"/>
              <w:ind w:left="180" w:hanging="180"/>
            </w:pPr>
            <w:r>
              <w:t xml:space="preserve">•  Session transcripts retained for HP event reconstruction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Missed-signal events reduced year over year</w:t>
            </w:r>
          </w:p>
          <w:p>
            <w:pPr>
              <w:spacing w:after="20" w:before="20" w:line="280"/>
              <w:ind w:left="180" w:hanging="180"/>
            </w:pPr>
            <w:r>
              <w:t xml:space="preserve">•  Time to complete turnover briefing</w:t>
            </w:r>
          </w:p>
          <w:p>
            <w:pPr>
              <w:spacing w:after="20" w:before="20" w:line="280"/>
              <w:ind w:left="180" w:hanging="180"/>
            </w:pPr>
            <w:r>
              <w:t xml:space="preserve">•  Unresolved-item carryover rate</w:t>
            </w:r>
          </w:p>
          <w:p>
            <w:pPr>
              <w:spacing w:after="20" w:before="20" w:line="280"/>
              <w:ind w:left="180" w:hanging="180"/>
            </w:pPr>
            <w:r>
              <w:t xml:space="preserve">•  Operator satisfaction with turnover quality</w:t>
            </w:r>
          </w:p>
        </w:tc>
      </w:tr>
    </w:tbl>
    <w:p>
      <w:pPr>
        <w:spacing w:before="200"/>
      </w:pPr>
    </w:p>
    <w:p>
      <w:pPr>
        <w:pStyle w:val="Heading2"/>
        <w:spacing w:after="120" w:before="280"/>
      </w:pPr>
      <w:r>
        <w:rPr>
          <w:b/>
          <w:bCs/>
          <w:color w:val="2E5680"/>
          <w:sz w:val="28"/>
          <w:szCs w:val="28"/>
        </w:rPr>
        <w:t xml:space="preserve">OPS-03  ·  Procedure Authoring &amp; Change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Fleet Operations, Maintenance &amp; Human Performance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Drafting &amp; generation (primary); Document intelligence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Procedure Writer; Training / SAT Coordinator; Operations Support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High modification volume; recent HP event traced to outdated procedure; SMR first-of-a-kind procedure set.</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Operating, alarm response, abnormal, and emergency operating procedures must track plant configuration changes, OpEx lessons, and training feedback. Authoring and revising procedures is slow and inconsistent across authors. Procedure non-intrusiveness, place-keeping format, and human-factors style guides (INPO AP-907, NEI 06-04) are rarely applied uniformly, and procedures drift from configuration reality.</w:t>
      </w:r>
    </w:p>
    <w:p>
      <w:pPr>
        <w:pStyle w:val="Heading3"/>
        <w:spacing w:after="80" w:before="200"/>
      </w:pPr>
      <w:r>
        <w:rPr>
          <w:b/>
          <w:bCs/>
          <w:color w:val="0B2E4F"/>
          <w:sz w:val="24"/>
          <w:szCs w:val="24"/>
        </w:rPr>
        <w:t xml:space="preserve">What the app does</w:t>
      </w:r>
    </w:p>
    <w:p>
      <w:pPr>
        <w:spacing w:after="60" w:before="60" w:line="300"/>
      </w:pPr>
      <w:r>
        <w:t xml:space="preserve">Drafts new and revised procedures from design inputs (ECOs, DCRs), OpEx actions, and training feedback. Enforces the sponsoring utility's format, voice, and place-keeping style. Surfaces procedures affected by a given change and drafts the revision plus a change-history narrative. Maintains bidirectional traceability between procedure steps and licensing basis commitments.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ECOs / design change records</w:t>
            </w:r>
          </w:p>
          <w:p>
            <w:pPr>
              <w:spacing w:after="20" w:before="20" w:line="280"/>
              <w:ind w:left="180" w:hanging="180"/>
            </w:pPr>
            <w:r>
              <w:t xml:space="preserve">•  OpEx action items (from OPS-01) and training feedback</w:t>
            </w:r>
          </w:p>
          <w:p>
            <w:pPr>
              <w:spacing w:after="20" w:before="20" w:line="280"/>
              <w:ind w:left="180" w:hanging="180"/>
            </w:pPr>
            <w:r>
              <w:t xml:space="preserve">•  Current procedure revision and style guide (INPO AP-907, NEI 06-04)</w:t>
            </w:r>
          </w:p>
          <w:p>
            <w:pPr>
              <w:spacing w:after="20" w:before="20" w:line="280"/>
              <w:ind w:left="180" w:hanging="180"/>
            </w:pPr>
            <w:r>
              <w:t xml:space="preserve">•  Licensing basis commitments mapped to procedures</w:t>
            </w:r>
          </w:p>
          <w:p>
            <w:pPr>
              <w:spacing w:after="20" w:before="20" w:line="280"/>
              <w:ind w:left="180" w:hanging="180"/>
            </w:pPr>
            <w:r>
              <w:t xml:space="preserve">•  Prior procedure revisions for precedent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revised procedure in plant format</w:t>
            </w:r>
          </w:p>
          <w:p>
            <w:pPr>
              <w:spacing w:after="20" w:before="20" w:line="280"/>
              <w:ind w:left="180" w:hanging="180"/>
            </w:pPr>
            <w:r>
              <w:t xml:space="preserve">•  Place-keeping and human-factors conformance flags</w:t>
            </w:r>
          </w:p>
          <w:p>
            <w:pPr>
              <w:spacing w:after="20" w:before="20" w:line="280"/>
              <w:ind w:left="180" w:hanging="180"/>
            </w:pPr>
            <w:r>
              <w:t xml:space="preserve">•  Change-history narrative vs. prior rev</w:t>
            </w:r>
          </w:p>
          <w:p>
            <w:pPr>
              <w:spacing w:after="20" w:before="20" w:line="280"/>
              <w:ind w:left="180" w:hanging="180"/>
            </w:pPr>
            <w:r>
              <w:t xml:space="preserve">•  Affected-procedures map for a given modification</w:t>
            </w:r>
          </w:p>
          <w:p>
            <w:pPr>
              <w:spacing w:after="20" w:before="20" w:line="280"/>
              <w:ind w:left="180" w:hanging="180"/>
            </w:pPr>
            <w:r>
              <w:t xml:space="preserve">•  Commitment traceability for licensing review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Procedure authoring workbench</w:t>
            </w:r>
          </w:p>
          <w:p>
            <w:pPr>
              <w:spacing w:after="20" w:before="20" w:line="280"/>
              <w:ind w:left="180" w:hanging="180"/>
            </w:pPr>
            <w:r>
              <w:t xml:space="preserve">•  Approval workflow and e-signature</w:t>
            </w:r>
          </w:p>
          <w:p>
            <w:pPr>
              <w:spacing w:after="20" w:before="20" w:line="280"/>
              <w:ind w:left="180" w:hanging="180"/>
            </w:pPr>
            <w:r>
              <w:t xml:space="preserve">•  Affected-procedure finder</w:t>
            </w:r>
          </w:p>
          <w:p>
            <w:pPr>
              <w:spacing w:after="20" w:before="20" w:line="280"/>
              <w:ind w:left="180" w:hanging="180"/>
            </w:pPr>
            <w:r>
              <w:t xml:space="preserve">•  AI Interaction Framework draft + classify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Procedure management (EOOS, PassPort, PROMS)</w:t>
            </w:r>
          </w:p>
          <w:p>
            <w:pPr>
              <w:spacing w:after="20" w:before="20" w:line="280"/>
              <w:ind w:left="180" w:hanging="180"/>
            </w:pPr>
            <w:r>
              <w:t xml:space="preserve">•  Configuration management</w:t>
            </w:r>
          </w:p>
          <w:p>
            <w:pPr>
              <w:spacing w:after="20" w:before="20" w:line="280"/>
              <w:ind w:left="180" w:hanging="180"/>
            </w:pPr>
            <w:r>
              <w:t xml:space="preserve">•  Training / LMS</w:t>
            </w:r>
          </w:p>
          <w:p>
            <w:pPr>
              <w:spacing w:after="20" w:before="20" w:line="280"/>
              <w:ind w:left="180" w:hanging="180"/>
            </w:pPr>
            <w:r>
              <w:t xml:space="preserve">•  Documentum / ProjectWise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Operations approval required before use in the field</w:t>
            </w:r>
          </w:p>
          <w:p>
            <w:pPr>
              <w:spacing w:after="20" w:before="20" w:line="280"/>
              <w:ind w:left="180" w:hanging="180"/>
            </w:pPr>
            <w:r>
              <w:t xml:space="preserve">•  Commitment-affecting changes routed to licensing</w:t>
            </w:r>
          </w:p>
          <w:p>
            <w:pPr>
              <w:spacing w:after="20" w:before="20" w:line="280"/>
              <w:ind w:left="180" w:hanging="180"/>
            </w:pPr>
            <w:r>
              <w:t xml:space="preserve">•  Read-only access to source configuration data</w:t>
            </w:r>
          </w:p>
          <w:p>
            <w:pPr>
              <w:spacing w:after="20" w:before="20" w:line="280"/>
              <w:ind w:left="180" w:hanging="180"/>
            </w:pPr>
            <w:r>
              <w:t xml:space="preserve">•  Immutable change-history log retained for inspection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Procedure rev-up lead time vs. modification</w:t>
            </w:r>
          </w:p>
          <w:p>
            <w:pPr>
              <w:spacing w:after="20" w:before="20" w:line="280"/>
              <w:ind w:left="180" w:hanging="180"/>
            </w:pPr>
            <w:r>
              <w:t xml:space="preserve">•  Procedure drift (backlog of overdue revisions)</w:t>
            </w:r>
          </w:p>
          <w:p>
            <w:pPr>
              <w:spacing w:after="20" w:before="20" w:line="280"/>
              <w:ind w:left="180" w:hanging="180"/>
            </w:pPr>
            <w:r>
              <w:t xml:space="preserve">•  HP events traced to procedure inadequacy</w:t>
            </w:r>
          </w:p>
          <w:p>
            <w:pPr>
              <w:spacing w:after="20" w:before="20" w:line="280"/>
              <w:ind w:left="180" w:hanging="180"/>
            </w:pPr>
            <w:r>
              <w:t xml:space="preserve">•  Procedure-writer hours per revision</w:t>
            </w:r>
          </w:p>
        </w:tc>
      </w:tr>
    </w:tbl>
    <w:p>
      <w:pPr>
        <w:spacing w:before="200"/>
      </w:pPr>
    </w:p>
    <w:p>
      <w:pPr>
        <w:pStyle w:val="Heading2"/>
        <w:spacing w:after="120" w:before="280"/>
      </w:pPr>
      <w:r>
        <w:rPr>
          <w:b/>
          <w:bCs/>
          <w:color w:val="2E5680"/>
          <w:sz w:val="28"/>
          <w:szCs w:val="28"/>
        </w:rPr>
        <w:t xml:space="preserve">OPS-04  ·  Outage Work Package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Fleet Operations, Maintenance &amp; Human Performance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Drafting &amp; generation (primary); Decision support (schedule risk)</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Outage Manager; Work Week Manager; Planning Supervisor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Upcoming refueling outage; fleet pressure to shorten outage duration.</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Refueling and forced outages require thousands of work packages — each with steps, prerequisites, clearance orders, ALARA reviews, parts and tooling, and test acceptance criteria. Planners copy-paste from past packages, frequently miss configuration changes since the last outage, and schedule risk accumulates in the last 10% of planning.</w:t>
      </w:r>
    </w:p>
    <w:p>
      <w:pPr>
        <w:pStyle w:val="Heading3"/>
        <w:spacing w:after="80" w:before="200"/>
      </w:pPr>
      <w:r>
        <w:rPr>
          <w:b/>
          <w:bCs/>
          <w:color w:val="0B2E4F"/>
          <w:sz w:val="24"/>
          <w:szCs w:val="24"/>
        </w:rPr>
        <w:t xml:space="preserve">What the app does</w:t>
      </w:r>
    </w:p>
    <w:p>
      <w:pPr>
        <w:spacing w:after="60" w:before="60" w:line="300"/>
      </w:pPr>
      <w:r>
        <w:t xml:space="preserve">Generates draft outage work packages from the work order, equipment history, prior outage packages, and current configuration. Integrates with RAD-01 for ALARA pre-job review, with procurement for parts availability, and with the outage schedule for critical-path risk. Every package is a draft until the responsible planner signs off.</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Work orders and equipment history</w:t>
            </w:r>
          </w:p>
          <w:p>
            <w:pPr>
              <w:spacing w:after="20" w:before="20" w:line="280"/>
              <w:ind w:left="180" w:hanging="180"/>
            </w:pPr>
            <w:r>
              <w:t xml:space="preserve">•  Prior outage work packages</w:t>
            </w:r>
          </w:p>
          <w:p>
            <w:pPr>
              <w:spacing w:after="20" w:before="20" w:line="280"/>
              <w:ind w:left="180" w:hanging="180"/>
            </w:pPr>
            <w:r>
              <w:t xml:space="preserve">•  Current drawings, procedures, and configuration</w:t>
            </w:r>
          </w:p>
          <w:p>
            <w:pPr>
              <w:spacing w:after="20" w:before="20" w:line="280"/>
              <w:ind w:left="180" w:hanging="180"/>
            </w:pPr>
            <w:r>
              <w:t xml:space="preserve">•  ALARA and radiation work permit precedent (from RAD-01)</w:t>
            </w:r>
          </w:p>
          <w:p>
            <w:pPr>
              <w:spacing w:after="20" w:before="20" w:line="280"/>
              <w:ind w:left="180" w:hanging="180"/>
            </w:pPr>
            <w:r>
              <w:t xml:space="preserve">•  Parts, tooling, and labor availability</w:t>
            </w:r>
          </w:p>
          <w:p>
            <w:pPr>
              <w:spacing w:after="20" w:before="20" w:line="280"/>
              <w:ind w:left="180" w:hanging="180"/>
            </w:pPr>
            <w:r>
              <w:t xml:space="preserve">•  Outage schedule and critical path</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work package (steps, clearances, test criteria)</w:t>
            </w:r>
          </w:p>
          <w:p>
            <w:pPr>
              <w:spacing w:after="20" w:before="20" w:line="280"/>
              <w:ind w:left="180" w:hanging="180"/>
            </w:pPr>
            <w:r>
              <w:t xml:space="preserve">•  Parts and tooling list with availability check</w:t>
            </w:r>
          </w:p>
          <w:p>
            <w:pPr>
              <w:spacing w:after="20" w:before="20" w:line="280"/>
              <w:ind w:left="180" w:hanging="180"/>
            </w:pPr>
            <w:r>
              <w:t xml:space="preserve">•  ALARA pre-job review hooks (coupling with RAD-01)</w:t>
            </w:r>
          </w:p>
          <w:p>
            <w:pPr>
              <w:spacing w:after="20" w:before="20" w:line="280"/>
              <w:ind w:left="180" w:hanging="180"/>
            </w:pPr>
            <w:r>
              <w:t xml:space="preserve">•  Schedule-risk callouts (float consumption, critical path)</w:t>
            </w:r>
          </w:p>
          <w:p>
            <w:pPr>
              <w:spacing w:after="20" w:before="20" w:line="280"/>
              <w:ind w:left="180" w:hanging="180"/>
            </w:pPr>
            <w:r>
              <w:t xml:space="preserve">•  Reviewer-ready redline against prior outage package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Outage cockpit and work-week planner</w:t>
            </w:r>
          </w:p>
          <w:p>
            <w:pPr>
              <w:spacing w:after="20" w:before="20" w:line="280"/>
              <w:ind w:left="180" w:hanging="180"/>
            </w:pPr>
            <w:r>
              <w:t xml:space="preserve">•  Package drafting workbench</w:t>
            </w:r>
          </w:p>
          <w:p>
            <w:pPr>
              <w:spacing w:after="20" w:before="20" w:line="280"/>
              <w:ind w:left="180" w:hanging="180"/>
            </w:pPr>
            <w:r>
              <w:t xml:space="preserve">•  Clearance-order and tagout coordination panel</w:t>
            </w:r>
          </w:p>
          <w:p>
            <w:pPr>
              <w:spacing w:after="20" w:before="20" w:line="280"/>
              <w:ind w:left="180" w:hanging="180"/>
            </w:pPr>
            <w:r>
              <w:t xml:space="preserve">•  AI Interaction Framework draft + retrieve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Work management (Maximo, Asset Suite, Passport)</w:t>
            </w:r>
          </w:p>
          <w:p>
            <w:pPr>
              <w:spacing w:after="20" w:before="20" w:line="280"/>
              <w:ind w:left="180" w:hanging="180"/>
            </w:pPr>
            <w:r>
              <w:t xml:space="preserve">•  Outage scheduling (Primavera P6, PRIME)</w:t>
            </w:r>
          </w:p>
          <w:p>
            <w:pPr>
              <w:spacing w:after="20" w:before="20" w:line="280"/>
              <w:ind w:left="180" w:hanging="180"/>
            </w:pPr>
            <w:r>
              <w:t xml:space="preserve">•  Warehouse / ERP (SAP, Maximo)</w:t>
            </w:r>
          </w:p>
          <w:p>
            <w:pPr>
              <w:spacing w:after="20" w:before="20" w:line="280"/>
              <w:ind w:left="180" w:hanging="180"/>
            </w:pPr>
            <w:r>
              <w:t xml:space="preserve">•  Configuration management and drawing repositories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Responsible planner approves every package before release</w:t>
            </w:r>
          </w:p>
          <w:p>
            <w:pPr>
              <w:spacing w:after="20" w:before="20" w:line="280"/>
              <w:ind w:left="180" w:hanging="180"/>
            </w:pPr>
            <w:r>
              <w:t xml:space="preserve">•  Clearance-order generation remains in authoritative system</w:t>
            </w:r>
          </w:p>
          <w:p>
            <w:pPr>
              <w:spacing w:after="20" w:before="20" w:line="280"/>
              <w:ind w:left="180" w:hanging="180"/>
            </w:pPr>
            <w:r>
              <w:t xml:space="preserve">•  Safety-related packages routed to additional QA review</w:t>
            </w:r>
          </w:p>
          <w:p>
            <w:pPr>
              <w:spacing w:after="20" w:before="20" w:line="280"/>
              <w:ind w:left="180" w:hanging="180"/>
            </w:pPr>
            <w:r>
              <w:t xml:space="preserve">•  Change-history log retained for outage critique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Planning-complete date vs. outage start</w:t>
            </w:r>
          </w:p>
          <w:p>
            <w:pPr>
              <w:spacing w:after="20" w:before="20" w:line="280"/>
              <w:ind w:left="180" w:hanging="180"/>
            </w:pPr>
            <w:r>
              <w:t xml:space="preserve">•  Package rework rate in execution</w:t>
            </w:r>
          </w:p>
          <w:p>
            <w:pPr>
              <w:spacing w:after="20" w:before="20" w:line="280"/>
              <w:ind w:left="180" w:hanging="180"/>
            </w:pPr>
            <w:r>
              <w:t xml:space="preserve">•  Critical-path float consumption</w:t>
            </w:r>
          </w:p>
          <w:p>
            <w:pPr>
              <w:spacing w:after="20" w:before="20" w:line="280"/>
              <w:ind w:left="180" w:hanging="180"/>
            </w:pPr>
            <w:r>
              <w:t xml:space="preserve">•  Planner hours per package</w:t>
            </w:r>
          </w:p>
        </w:tc>
      </w:tr>
    </w:tbl>
    <w:p>
      <w:pPr>
        <w:spacing w:before="200"/>
      </w:pPr>
    </w:p>
    <w:p>
      <w:pPr>
        <w:pStyle w:val="Heading2"/>
        <w:spacing w:after="120" w:before="280"/>
      </w:pPr>
      <w:r>
        <w:rPr>
          <w:b/>
          <w:bCs/>
          <w:color w:val="2E5680"/>
          <w:sz w:val="28"/>
          <w:szCs w:val="28"/>
        </w:rPr>
        <w:t xml:space="preserve">OPS-05  ·  Predictive Maintenance Action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Fleet Operations, Maintenance &amp; Human Performance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Decision support &amp; triage (primary); Drafting (work package narrative)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Fleet Reliability Manager; System Engineer; Maintenance Planner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Underused PdM platform; condition-based maintenance mandate; fleet capacity-factor improvement initiative.</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Online monitoring (vibration, thermography, oil analysis, acoustic emission, partial discharge) and plant historian analytics produce alerts — not decisions. Reliability engineers receive scores and thresholds without context; alerts are either ignored or drive unnecessary interventions that hurt capacity factor. The action translation — what does this alert mean for this train of this pump at this plant this week — is the bottleneck.</w:t>
      </w:r>
    </w:p>
    <w:p>
      <w:pPr>
        <w:pStyle w:val="Heading3"/>
        <w:spacing w:after="80" w:before="200"/>
      </w:pPr>
      <w:r>
        <w:rPr>
          <w:b/>
          <w:bCs/>
          <w:color w:val="0B2E4F"/>
          <w:sz w:val="24"/>
          <w:szCs w:val="24"/>
        </w:rPr>
        <w:t xml:space="preserve">What the app does</w:t>
      </w:r>
    </w:p>
    <w:p>
      <w:pPr>
        <w:spacing w:after="60" w:before="60" w:line="300"/>
      </w:pPr>
      <w:r>
        <w:t xml:space="preserve">Wraps online monitoring and PdM model outputs with AI-generated explanations, prioritization, and draft condition-based work requests. Translates sensor trends, prior CRs, and maintenance history into plain-language recommendations the reliability engineer and planner can act on with confidence.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PdM model scores and feature attributions</w:t>
            </w:r>
          </w:p>
          <w:p>
            <w:pPr>
              <w:spacing w:after="20" w:before="20" w:line="280"/>
              <w:ind w:left="180" w:hanging="180"/>
            </w:pPr>
            <w:r>
              <w:t xml:space="preserve">•  Plant historian tag trends (PI, Canary)</w:t>
            </w:r>
          </w:p>
          <w:p>
            <w:pPr>
              <w:spacing w:after="20" w:before="20" w:line="280"/>
              <w:ind w:left="180" w:hanging="180"/>
            </w:pPr>
            <w:r>
              <w:t xml:space="preserve">•  Prior condition reports and maintenance history</w:t>
            </w:r>
          </w:p>
          <w:p>
            <w:pPr>
              <w:spacing w:after="20" w:before="20" w:line="280"/>
              <w:ind w:left="180" w:hanging="180"/>
            </w:pPr>
            <w:r>
              <w:t xml:space="preserve">•  Planned-maintenance and outage schedule</w:t>
            </w:r>
          </w:p>
          <w:p>
            <w:pPr>
              <w:spacing w:after="20" w:before="20" w:line="280"/>
              <w:ind w:left="180" w:hanging="180"/>
            </w:pPr>
            <w:r>
              <w:t xml:space="preserve">•  Parts, tooling, and labor availability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Plain-language alert explanation with cited trends</w:t>
            </w:r>
          </w:p>
          <w:p>
            <w:pPr>
              <w:spacing w:after="20" w:before="20" w:line="280"/>
              <w:ind w:left="180" w:hanging="180"/>
            </w:pPr>
            <w:r>
              <w:t xml:space="preserve">•  Prioritized recommended action (monitor, plan, outage defer)</w:t>
            </w:r>
          </w:p>
          <w:p>
            <w:pPr>
              <w:spacing w:after="20" w:before="20" w:line="280"/>
              <w:ind w:left="180" w:hanging="180"/>
            </w:pPr>
            <w:r>
              <w:t xml:space="preserve">•  Draft condition-based work request</w:t>
            </w:r>
          </w:p>
          <w:p>
            <w:pPr>
              <w:spacing w:after="20" w:before="20" w:line="280"/>
              <w:ind w:left="180" w:hanging="180"/>
            </w:pPr>
            <w:r>
              <w:t xml:space="preserve">•  Capacity-factor-impact summary</w:t>
            </w:r>
          </w:p>
          <w:p>
            <w:pPr>
              <w:spacing w:after="20" w:before="20" w:line="280"/>
              <w:ind w:left="180" w:hanging="180"/>
            </w:pPr>
            <w:r>
              <w:t xml:space="preserve">•  Escalation to system engineer when safety-significant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Reliability cockpit with alert queue</w:t>
            </w:r>
          </w:p>
          <w:p>
            <w:pPr>
              <w:spacing w:after="20" w:before="20" w:line="280"/>
              <w:ind w:left="180" w:hanging="180"/>
            </w:pPr>
            <w:r>
              <w:t xml:space="preserve">•  Action approval and scheduling workflow</w:t>
            </w:r>
          </w:p>
          <w:p>
            <w:pPr>
              <w:spacing w:after="20" w:before="20" w:line="280"/>
              <w:ind w:left="180" w:hanging="180"/>
            </w:pPr>
            <w:r>
              <w:t xml:space="preserve">•  Work-request drafting component</w:t>
            </w:r>
          </w:p>
          <w:p>
            <w:pPr>
              <w:spacing w:after="20" w:before="20" w:line="280"/>
              <w:ind w:left="180" w:hanging="180"/>
            </w:pPr>
            <w:r>
              <w:t xml:space="preserve">•  AI Interaction Framework explain + draft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PdM platforms (OSIsoft PI, GE APM, Bentley AssetWise, Databricks)</w:t>
            </w:r>
          </w:p>
          <w:p>
            <w:pPr>
              <w:spacing w:after="20" w:before="20" w:line="280"/>
              <w:ind w:left="180" w:hanging="180"/>
            </w:pPr>
            <w:r>
              <w:t xml:space="preserve">•  Work management (Maximo, Asset Suite, Passport)</w:t>
            </w:r>
          </w:p>
          <w:p>
            <w:pPr>
              <w:spacing w:after="20" w:before="20" w:line="280"/>
              <w:ind w:left="180" w:hanging="180"/>
            </w:pPr>
            <w:r>
              <w:t xml:space="preserve">•  CAP / corrective action</w:t>
            </w:r>
          </w:p>
          <w:p>
            <w:pPr>
              <w:spacing w:after="20" w:before="20" w:line="280"/>
              <w:ind w:left="180" w:hanging="180"/>
            </w:pPr>
            <w:r>
              <w:t xml:space="preserve">•  ERP for parts and labor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Every action requires reliability-engineer or planner approval</w:t>
            </w:r>
          </w:p>
          <w:p>
            <w:pPr>
              <w:spacing w:after="20" w:before="20" w:line="280"/>
              <w:ind w:left="180" w:hanging="180"/>
            </w:pPr>
            <w:r>
              <w:t xml:space="preserve">•  Safety-significant alerts always require human review</w:t>
            </w:r>
          </w:p>
          <w:p>
            <w:pPr>
              <w:spacing w:after="20" w:before="20" w:line="280"/>
              <w:ind w:left="180" w:hanging="180"/>
            </w:pPr>
            <w:r>
              <w:t xml:space="preserve">•  Cost and schedule estimates labeled as AI-generated drafts</w:t>
            </w:r>
          </w:p>
          <w:p>
            <w:pPr>
              <w:spacing w:after="20" w:before="20" w:line="280"/>
              <w:ind w:left="180" w:hanging="180"/>
            </w:pPr>
            <w:r>
              <w:t xml:space="preserve">•  Model inputs and outputs logged for audit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Alert-to-action time</w:t>
            </w:r>
          </w:p>
          <w:p>
            <w:pPr>
              <w:spacing w:after="20" w:before="20" w:line="280"/>
              <w:ind w:left="180" w:hanging="180"/>
            </w:pPr>
            <w:r>
              <w:t xml:space="preserve">•  Unnecessary-intervention reduction</w:t>
            </w:r>
          </w:p>
          <w:p>
            <w:pPr>
              <w:spacing w:after="20" w:before="20" w:line="280"/>
              <w:ind w:left="180" w:hanging="180"/>
            </w:pPr>
            <w:r>
              <w:t xml:space="preserve">•  Unplanned capacity-loss factor reduction</w:t>
            </w:r>
          </w:p>
          <w:p>
            <w:pPr>
              <w:spacing w:after="20" w:before="20" w:line="280"/>
              <w:ind w:left="180" w:hanging="180"/>
            </w:pPr>
            <w:r>
              <w:t xml:space="preserve">•  Reliability-engineer hours saved per alert</w:t>
            </w:r>
          </w:p>
        </w:tc>
      </w:tr>
    </w:tbl>
    <w:p>
      <w:pPr>
        <w:spacing w:before="200"/>
      </w:pPr>
    </w:p>
    <w:p>
      <w:pPr>
        <w:pStyle w:val="Heading1"/>
        <w:spacing w:after="160" w:before="320"/>
      </w:pPr>
      <w:r>
        <w:rPr>
          <w:b/>
          <w:bCs/>
          <w:color w:val="0B2E4F"/>
          <w:sz w:val="36"/>
          <w:szCs w:val="36"/>
        </w:rPr>
        <w:t xml:space="preserve">Domain 3 · Fuel, Radiation Protection, Reporting &amp; Fusion R&amp;D</w:t>
      </w:r>
    </w:p>
    <w:p>
      <w:pPr>
        <w:spacing w:after="60" w:before="60" w:line="300"/>
      </w:pPr>
      <w:r>
        <w:t xml:space="preserve">This domain crosses the operating fleet, advanced reactor deployment, and commercial fusion programs. ALARA and radiation work planning (RAD-01) applies to every nuclear workplace; LER and regulatory reporting (REG-01) is essential to every licensee; and the fusion experiment campaign analyst (FUS-01) is the portfolio's explicit investment in the fast-moving fusion sector, where governed, cited AI is especially valuable as facilities ramp from first plasma toward net-energy demonstration.</w:t>
      </w:r>
    </w:p>
    <w:p>
      <w:pPr>
        <w:pStyle w:val="Heading2"/>
        <w:spacing w:after="120" w:before="280"/>
      </w:pPr>
      <w:r>
        <w:rPr>
          <w:b/>
          <w:bCs/>
          <w:color w:val="2E5680"/>
          <w:sz w:val="28"/>
          <w:szCs w:val="28"/>
        </w:rPr>
        <w:t xml:space="preserve">RAD-01  ·  ALARA, RWP Drafting &amp; Dose Review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Fuel, Radiation Protection, Reporting &amp; Fusion R&amp;D</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Guided copilot (primary); Drafting &amp; generation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Radiation Protection Manager; ALARA Coordinator; RP Engineer; HP Technician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Collective dose trending upward; outage with high-dose evolutions; SMR or fusion facility RP standup.</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Radiation work planning — drafting RWPs, performing ALARA pre-job reviews, selecting dose reduction techniques, and reviewing post-job dose vs. estimate — is labor-intensive and heavily dependent on the memory of experienced staff. Collective dose creep, repeated ALARA findings, and post-job dose overruns are persistent fleet issues, and the problem is more acute for first-of-a-kind SMR and fusion facilities with limited local precedent.</w:t>
      </w:r>
    </w:p>
    <w:p>
      <w:pPr>
        <w:pStyle w:val="Heading3"/>
        <w:spacing w:after="80" w:before="200"/>
      </w:pPr>
      <w:r>
        <w:rPr>
          <w:b/>
          <w:bCs/>
          <w:color w:val="0B2E4F"/>
          <w:sz w:val="24"/>
          <w:szCs w:val="24"/>
        </w:rPr>
        <w:t xml:space="preserve">What the app does</w:t>
      </w:r>
    </w:p>
    <w:p>
      <w:pPr>
        <w:spacing w:after="60" w:before="60" w:line="300"/>
      </w:pPr>
      <w:r>
        <w:t xml:space="preserve">Role-scoped copilot available to RP engineers, HP technicians, and ALARA coordinators. Drafts RWPs and pre-job ALARA reviews from work orders and prior similar jobs, answers in-field questions with citations to approved RP procedures and dose-reduction techniques, and produces post-job dose-variance narratives. Grounded in approved procedures and industry practices (NEI 07-03, ANSI N13.41) only; no open browsing.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Work orders and job scope</w:t>
            </w:r>
          </w:p>
          <w:p>
            <w:pPr>
              <w:spacing w:after="20" w:before="20" w:line="280"/>
              <w:ind w:left="180" w:hanging="180"/>
            </w:pPr>
            <w:r>
              <w:t xml:space="preserve">•  Approved RP procedures and ALARA manual</w:t>
            </w:r>
          </w:p>
          <w:p>
            <w:pPr>
              <w:spacing w:after="20" w:before="20" w:line="280"/>
              <w:ind w:left="180" w:hanging="180"/>
            </w:pPr>
            <w:r>
              <w:t xml:space="preserve">•  Prior similar RWPs and post-job reports</w:t>
            </w:r>
          </w:p>
          <w:p>
            <w:pPr>
              <w:spacing w:after="20" w:before="20" w:line="280"/>
              <w:ind w:left="180" w:hanging="180"/>
            </w:pPr>
            <w:r>
              <w:t xml:space="preserve">•  Dose assessment and shielding data</w:t>
            </w:r>
          </w:p>
          <w:p>
            <w:pPr>
              <w:spacing w:after="20" w:before="20" w:line="280"/>
              <w:ind w:left="180" w:hanging="180"/>
            </w:pPr>
            <w:r>
              <w:t xml:space="preserve">•  Worker-dose history (role-scoped)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RWP and ALARA pre-job review</w:t>
            </w:r>
          </w:p>
          <w:p>
            <w:pPr>
              <w:spacing w:after="20" w:before="20" w:line="280"/>
              <w:ind w:left="180" w:hanging="180"/>
            </w:pPr>
            <w:r>
              <w:t xml:space="preserve">•  Recommended dose-reduction techniques with rationale</w:t>
            </w:r>
          </w:p>
          <w:p>
            <w:pPr>
              <w:spacing w:after="20" w:before="20" w:line="280"/>
              <w:ind w:left="180" w:hanging="180"/>
            </w:pPr>
            <w:r>
              <w:t xml:space="preserve">•  Cited answer to in-field RP questions</w:t>
            </w:r>
          </w:p>
          <w:p>
            <w:pPr>
              <w:spacing w:after="20" w:before="20" w:line="280"/>
              <w:ind w:left="180" w:hanging="180"/>
            </w:pPr>
            <w:r>
              <w:t xml:space="preserve">•  Post-job dose-variance narrative</w:t>
            </w:r>
          </w:p>
          <w:p>
            <w:pPr>
              <w:spacing w:after="20" w:before="20" w:line="280"/>
              <w:ind w:left="180" w:hanging="180"/>
            </w:pPr>
            <w:r>
              <w:t xml:space="preserve">•  ALARA trend summary for RP manager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RP workbench with RWP builder</w:t>
            </w:r>
          </w:p>
          <w:p>
            <w:pPr>
              <w:spacing w:after="20" w:before="20" w:line="280"/>
              <w:ind w:left="180" w:hanging="180"/>
            </w:pPr>
            <w:r>
              <w:t xml:space="preserve">•  Mobile-first technician chat UI (Atlas UI)</w:t>
            </w:r>
          </w:p>
          <w:p>
            <w:pPr>
              <w:spacing w:after="20" w:before="20" w:line="280"/>
              <w:ind w:left="180" w:hanging="180"/>
            </w:pPr>
            <w:r>
              <w:t xml:space="preserve">•  Dose tracking and variance dashboard</w:t>
            </w:r>
          </w:p>
          <w:p>
            <w:pPr>
              <w:spacing w:after="20" w:before="20" w:line="280"/>
              <w:ind w:left="180" w:hanging="180"/>
            </w:pPr>
            <w:r>
              <w:t xml:space="preserve">•  AI Interaction Framework answer-with-citations + draft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Electronic dosimetry systems</w:t>
            </w:r>
          </w:p>
          <w:p>
            <w:pPr>
              <w:spacing w:after="20" w:before="20" w:line="280"/>
              <w:ind w:left="180" w:hanging="180"/>
            </w:pPr>
            <w:r>
              <w:t xml:space="preserve">•  RP and dose-tracking platforms (SuperDose, DosiWeb)</w:t>
            </w:r>
          </w:p>
          <w:p>
            <w:pPr>
              <w:spacing w:after="20" w:before="20" w:line="280"/>
              <w:ind w:left="180" w:hanging="180"/>
            </w:pPr>
            <w:r>
              <w:t xml:space="preserve">•  Work management (Maximo, Asset Suite, Passport)</w:t>
            </w:r>
          </w:p>
          <w:p>
            <w:pPr>
              <w:spacing w:after="20" w:before="20" w:line="280"/>
              <w:ind w:left="180" w:hanging="180"/>
            </w:pPr>
            <w:r>
              <w:t xml:space="preserve">•  Procedures repository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RWPs always require qualified RP review and approval</w:t>
            </w:r>
          </w:p>
          <w:p>
            <w:pPr>
              <w:spacing w:after="20" w:before="20" w:line="280"/>
              <w:ind w:left="180" w:hanging="180"/>
            </w:pPr>
            <w:r>
              <w:t xml:space="preserve">•  Copilot is read-only — cannot issue or modify RWPs directly</w:t>
            </w:r>
          </w:p>
          <w:p>
            <w:pPr>
              <w:spacing w:after="20" w:before="20" w:line="280"/>
              <w:ind w:left="180" w:hanging="180"/>
            </w:pPr>
            <w:r>
              <w:t xml:space="preserve">•  Role-based access to worker-dose data</w:t>
            </w:r>
          </w:p>
          <w:p>
            <w:pPr>
              <w:spacing w:after="20" w:before="20" w:line="280"/>
              <w:ind w:left="180" w:hanging="180"/>
            </w:pPr>
            <w:r>
              <w:t xml:space="preserve">•  Safety-critical guidance escalates to RP engineer automatically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Collective-dose trend (per rem reduction)</w:t>
            </w:r>
          </w:p>
          <w:p>
            <w:pPr>
              <w:spacing w:after="20" w:before="20" w:line="280"/>
              <w:ind w:left="180" w:hanging="180"/>
            </w:pPr>
            <w:r>
              <w:t xml:space="preserve">•  Post-job dose variance (actual vs. estimate)</w:t>
            </w:r>
          </w:p>
          <w:p>
            <w:pPr>
              <w:spacing w:after="20" w:before="20" w:line="280"/>
              <w:ind w:left="180" w:hanging="180"/>
            </w:pPr>
            <w:r>
              <w:t xml:space="preserve">•  Time to RWP issuance</w:t>
            </w:r>
          </w:p>
          <w:p>
            <w:pPr>
              <w:spacing w:after="20" w:before="20" w:line="280"/>
              <w:ind w:left="180" w:hanging="180"/>
            </w:pPr>
            <w:r>
              <w:t xml:space="preserve">•  Repeated ALARA findings reduced year over year</w:t>
            </w:r>
          </w:p>
        </w:tc>
      </w:tr>
    </w:tbl>
    <w:p>
      <w:pPr>
        <w:spacing w:before="200"/>
      </w:pPr>
    </w:p>
    <w:p>
      <w:pPr>
        <w:pStyle w:val="Heading2"/>
        <w:spacing w:after="120" w:before="280"/>
      </w:pPr>
      <w:r>
        <w:rPr>
          <w:b/>
          <w:bCs/>
          <w:color w:val="2E5680"/>
          <w:sz w:val="28"/>
          <w:szCs w:val="28"/>
        </w:rPr>
        <w:t xml:space="preserve">REG-01  ·  LER &amp; Regulatory Reporting Drafting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Fuel, Radiation Protection, Reporting &amp; Fusion R&amp;D</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Drafting &amp; generation (primary); Document intelligence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Regulatory Affairs Manager; Licensing Engineer; Emergency Preparedness Coordinator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Reportability event; RIS or IN on reporting-program weaknesses; SMR first-of-a-kind LER.</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Licensee Event Reports (10 CFR 50.73), 4- and 8-hour notifications (10 CFR 50.72), 10 CFR 21 reports, CNSC event reports, ONR event reports, and IAEA INES categorization all have strict content and timing requirements. The same event has to be re-cast for different audiences under schedule pressure, and the reports are scrutinized for completeness, causal reasoning, and corrective action linkage.</w:t>
      </w:r>
    </w:p>
    <w:p>
      <w:pPr>
        <w:pStyle w:val="Heading3"/>
        <w:spacing w:after="80" w:before="200"/>
      </w:pPr>
      <w:r>
        <w:rPr>
          <w:b/>
          <w:bCs/>
          <w:color w:val="0B2E4F"/>
          <w:sz w:val="24"/>
          <w:szCs w:val="24"/>
        </w:rPr>
        <w:t xml:space="preserve">What the app does</w:t>
      </w:r>
    </w:p>
    <w:p>
      <w:pPr>
        <w:spacing w:after="60" w:before="60" w:line="300"/>
      </w:pPr>
      <w:r>
        <w:t xml:space="preserve">Takes the condition-report narrative and structured event data as input and drafts the LER, 50.72 notification, Part 21 report, and CNSC / ONR / INES equivalents. Pulls root-cause and corrective-action linkage from the CAP system and from prior similar events. Produces a timeline with cited supporting evidence and routes the draft to the regulatory affairs reviewer queue.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Condition report and event data</w:t>
            </w:r>
          </w:p>
          <w:p>
            <w:pPr>
              <w:spacing w:after="20" w:before="20" w:line="280"/>
              <w:ind w:left="180" w:hanging="180"/>
            </w:pPr>
            <w:r>
              <w:t xml:space="preserve">•  Root-cause analysis and corrective-action records</w:t>
            </w:r>
          </w:p>
          <w:p>
            <w:pPr>
              <w:spacing w:after="20" w:before="20" w:line="280"/>
              <w:ind w:left="180" w:hanging="180"/>
            </w:pPr>
            <w:r>
              <w:t xml:space="preserve">•  Prior LERs and comparable events (fleet and industry)</w:t>
            </w:r>
          </w:p>
          <w:p>
            <w:pPr>
              <w:spacing w:after="20" w:before="20" w:line="280"/>
              <w:ind w:left="180" w:hanging="180"/>
            </w:pPr>
            <w:r>
              <w:t xml:space="preserve">•  Plant status and Tech Spec entries at time of event</w:t>
            </w:r>
          </w:p>
          <w:p>
            <w:pPr>
              <w:spacing w:after="20" w:before="20" w:line="280"/>
              <w:ind w:left="180" w:hanging="180"/>
            </w:pPr>
            <w:r>
              <w:t xml:space="preserve">•  Regulator-specific templates and style guides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Draft LER (10 CFR 50.73) with cited evidence</w:t>
            </w:r>
          </w:p>
          <w:p>
            <w:pPr>
              <w:spacing w:after="20" w:before="20" w:line="280"/>
              <w:ind w:left="180" w:hanging="180"/>
            </w:pPr>
            <w:r>
              <w:t xml:space="preserve">•  Draft 50.72 notification (4- / 8-hour)</w:t>
            </w:r>
          </w:p>
          <w:p>
            <w:pPr>
              <w:spacing w:after="20" w:before="20" w:line="280"/>
              <w:ind w:left="180" w:hanging="180"/>
            </w:pPr>
            <w:r>
              <w:t xml:space="preserve">•  Draft Part 21 report when applicable</w:t>
            </w:r>
          </w:p>
          <w:p>
            <w:pPr>
              <w:spacing w:after="20" w:before="20" w:line="280"/>
              <w:ind w:left="180" w:hanging="180"/>
            </w:pPr>
            <w:r>
              <w:t xml:space="preserve">•  CNSC / ONR / IAEA INES-equivalent drafts</w:t>
            </w:r>
          </w:p>
          <w:p>
            <w:pPr>
              <w:spacing w:after="20" w:before="20" w:line="280"/>
              <w:ind w:left="180" w:hanging="180"/>
            </w:pPr>
            <w:r>
              <w:t xml:space="preserve">•  Event timeline and corrective-action linkage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Event drafting workbench</w:t>
            </w:r>
          </w:p>
          <w:p>
            <w:pPr>
              <w:spacing w:after="20" w:before="20" w:line="280"/>
              <w:ind w:left="180" w:hanging="180"/>
            </w:pPr>
            <w:r>
              <w:t xml:space="preserve">•  Reporter clock and SLA dashboard</w:t>
            </w:r>
          </w:p>
          <w:p>
            <w:pPr>
              <w:spacing w:after="20" w:before="20" w:line="280"/>
              <w:ind w:left="180" w:hanging="180"/>
            </w:pPr>
            <w:r>
              <w:t xml:space="preserve">•  Reviewer queue with e-signature</w:t>
            </w:r>
          </w:p>
          <w:p>
            <w:pPr>
              <w:spacing w:after="20" w:before="20" w:line="280"/>
              <w:ind w:left="180" w:hanging="180"/>
            </w:pPr>
            <w:r>
              <w:t xml:space="preserve">•  AI Interaction Framework draft + retrieve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CAP (Passport, Maximo, IMPACT)</w:t>
            </w:r>
          </w:p>
          <w:p>
            <w:pPr>
              <w:spacing w:after="20" w:before="20" w:line="280"/>
              <w:ind w:left="180" w:hanging="180"/>
            </w:pPr>
            <w:r>
              <w:t xml:space="preserve">•  NRC EIE / ADAMS submittal channels</w:t>
            </w:r>
          </w:p>
          <w:p>
            <w:pPr>
              <w:spacing w:after="20" w:before="20" w:line="280"/>
              <w:ind w:left="180" w:hanging="180"/>
            </w:pPr>
            <w:r>
              <w:t xml:space="preserve">•  CNSC e-Docs and ONR interfaces</w:t>
            </w:r>
          </w:p>
          <w:p>
            <w:pPr>
              <w:spacing w:after="20" w:before="20" w:line="280"/>
              <w:ind w:left="180" w:hanging="180"/>
            </w:pPr>
            <w:r>
              <w:t xml:space="preserve">•  Plant data historian for timeline reconstruction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Regulatory affairs reviewer must approve every draft</w:t>
            </w:r>
          </w:p>
          <w:p>
            <w:pPr>
              <w:spacing w:after="20" w:before="20" w:line="280"/>
              <w:ind w:left="180" w:hanging="180"/>
            </w:pPr>
            <w:r>
              <w:t xml:space="preserve">•  50.72 timing tracked by the app — no autonomous submissions</w:t>
            </w:r>
          </w:p>
          <w:p>
            <w:pPr>
              <w:spacing w:after="20" w:before="20" w:line="280"/>
              <w:ind w:left="180" w:hanging="180"/>
            </w:pPr>
            <w:r>
              <w:t xml:space="preserve">•  Sensitive (e.g., security-related) events scoped and routed appropriately</w:t>
            </w:r>
          </w:p>
          <w:p>
            <w:pPr>
              <w:spacing w:after="20" w:before="20" w:line="280"/>
              <w:ind w:left="180" w:hanging="180"/>
            </w:pPr>
            <w:r>
              <w:t xml:space="preserve">•  Immutable audit log of prompts, evidence, and decisions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Time from event to draft LER</w:t>
            </w:r>
          </w:p>
          <w:p>
            <w:pPr>
              <w:spacing w:after="20" w:before="20" w:line="280"/>
              <w:ind w:left="180" w:hanging="180"/>
            </w:pPr>
            <w:r>
              <w:t xml:space="preserve">•  Supplement rate on submitted LERs</w:t>
            </w:r>
          </w:p>
          <w:p>
            <w:pPr>
              <w:spacing w:after="20" w:before="20" w:line="280"/>
              <w:ind w:left="180" w:hanging="180"/>
            </w:pPr>
            <w:r>
              <w:t xml:space="preserve">•  50.72 notification compliance rate</w:t>
            </w:r>
          </w:p>
          <w:p>
            <w:pPr>
              <w:spacing w:after="20" w:before="20" w:line="280"/>
              <w:ind w:left="180" w:hanging="180"/>
            </w:pPr>
            <w:r>
              <w:t xml:space="preserve">•  Regulatory affairs hours per event</w:t>
            </w:r>
          </w:p>
        </w:tc>
      </w:tr>
    </w:tbl>
    <w:p>
      <w:pPr>
        <w:spacing w:before="200"/>
      </w:pPr>
    </w:p>
    <w:p>
      <w:pPr>
        <w:pStyle w:val="Heading2"/>
        <w:spacing w:after="120" w:before="280"/>
      </w:pPr>
      <w:r>
        <w:rPr>
          <w:b/>
          <w:bCs/>
          <w:color w:val="2E5680"/>
          <w:sz w:val="28"/>
          <w:szCs w:val="28"/>
        </w:rPr>
        <w:t xml:space="preserve">FUS-01  ·  Fusion Experiment Campaign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Domain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Fuel, Radiation Protection, Reporting &amp; Fusion R&amp;D</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AI Interaction Pattern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Document intelligence (primary); Decision support (campaign planning)</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Primary User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Plasma Physicist; Experiment Lead; Diagnostics Engineer; Machine Operations Coordinator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Buying Trigger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First-of-a-kind tokamak / stellarator / FRC campaign ramp-up; SPARC / DEMO-class pilot plant commissioning.</w:t>
            </w:r>
          </w:p>
        </w:tc>
      </w:tr>
    </w:tbl>
    <w:p>
      <w:pPr>
        <w:spacing w:before="120"/>
      </w:pPr>
    </w:p>
    <w:p>
      <w:pPr>
        <w:pStyle w:val="Heading3"/>
        <w:spacing w:after="80" w:before="200"/>
      </w:pPr>
      <w:r>
        <w:rPr>
          <w:b/>
          <w:bCs/>
          <w:color w:val="0B2E4F"/>
          <w:sz w:val="24"/>
          <w:szCs w:val="24"/>
        </w:rPr>
        <w:t xml:space="preserve">Problem</w:t>
      </w:r>
    </w:p>
    <w:p>
      <w:pPr>
        <w:spacing w:after="60" w:before="60" w:line="300"/>
      </w:pPr>
      <w:r>
        <w:t xml:space="preserve">Fusion experimental campaigns produce thousands of plasma shots per year across diagnostic streams (Thomson scattering, interferometry, bolometry, motional Stark effect, fast ion loss, tungsten spectroscopy). Extracting experimental learnings — cross-correlating shot logs, anomaly narratives, machine-conditioning notes, and physics goals — is the pacing item for campaign planning. Early-stage fusion teams often have brilliant physicists but a shortage of structured knowledge management.</w:t>
      </w:r>
    </w:p>
    <w:p>
      <w:pPr>
        <w:pStyle w:val="Heading3"/>
        <w:spacing w:after="80" w:before="200"/>
      </w:pPr>
      <w:r>
        <w:rPr>
          <w:b/>
          <w:bCs/>
          <w:color w:val="0B2E4F"/>
          <w:sz w:val="24"/>
          <w:szCs w:val="24"/>
        </w:rPr>
        <w:t xml:space="preserve">What the app does</w:t>
      </w:r>
    </w:p>
    <w:p>
      <w:pPr>
        <w:spacing w:after="60" w:before="60" w:line="300"/>
      </w:pPr>
      <w:r>
        <w:t xml:space="preserve">Ingests shot logs, diagnostic-channel summaries, operator narratives, and machine-conditioning notes. Classifies shots by regime and campaign objective, clusters anomalies (disruptions, locked modes, impurity events), drafts shot-day reports and weekly campaign summaries, and answers physicist and engineer questions with cited links to the originating log entries. Grounds only in the facility's own records; never browses the open web.</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Inputs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Outputs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Shot logs and shot-day summaries</w:t>
            </w:r>
          </w:p>
          <w:p>
            <w:pPr>
              <w:spacing w:after="20" w:before="20" w:line="280"/>
              <w:ind w:left="180" w:hanging="180"/>
            </w:pPr>
            <w:r>
              <w:t xml:space="preserve">•  Diagnostic-channel metadata and reduced data summaries</w:t>
            </w:r>
          </w:p>
          <w:p>
            <w:pPr>
              <w:spacing w:after="20" w:before="20" w:line="280"/>
              <w:ind w:left="180" w:hanging="180"/>
            </w:pPr>
            <w:r>
              <w:t xml:space="preserve">•  Operator and engineer narratives</w:t>
            </w:r>
          </w:p>
          <w:p>
            <w:pPr>
              <w:spacing w:after="20" w:before="20" w:line="280"/>
              <w:ind w:left="180" w:hanging="180"/>
            </w:pPr>
            <w:r>
              <w:t xml:space="preserve">•  Machine-conditioning and vacuum-status records</w:t>
            </w:r>
          </w:p>
          <w:p>
            <w:pPr>
              <w:spacing w:after="20" w:before="20" w:line="280"/>
              <w:ind w:left="180" w:hanging="180"/>
            </w:pPr>
            <w:r>
              <w:t xml:space="preserve">•  Campaign plan and physics objectives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Classified shot set with regime and objective tags</w:t>
            </w:r>
          </w:p>
          <w:p>
            <w:pPr>
              <w:spacing w:after="20" w:before="20" w:line="280"/>
              <w:ind w:left="180" w:hanging="180"/>
            </w:pPr>
            <w:r>
              <w:t xml:space="preserve">•  Clustered anomalies with example shots</w:t>
            </w:r>
          </w:p>
          <w:p>
            <w:pPr>
              <w:spacing w:after="20" w:before="20" w:line="280"/>
              <w:ind w:left="180" w:hanging="180"/>
            </w:pPr>
            <w:r>
              <w:t xml:space="preserve">•  Draft shot-day and weekly campaign reports</w:t>
            </w:r>
          </w:p>
          <w:p>
            <w:pPr>
              <w:spacing w:after="20" w:before="20" w:line="280"/>
              <w:ind w:left="180" w:hanging="180"/>
            </w:pPr>
            <w:r>
              <w:t xml:space="preserve">•  Cited answers to physicist / engineer questions</w:t>
            </w:r>
          </w:p>
          <w:p>
            <w:pPr>
              <w:spacing w:after="20" w:before="20" w:line="280"/>
              <w:ind w:left="180" w:hanging="180"/>
            </w:pPr>
            <w:r>
              <w:t xml:space="preserve">•  Campaign-planning recommendations (coverage gaps, revisit candidates)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Mendix Components</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Typical Integrations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Campaign cockpit and shot browser</w:t>
            </w:r>
          </w:p>
          <w:p>
            <w:pPr>
              <w:spacing w:after="20" w:before="20" w:line="280"/>
              <w:ind w:left="180" w:hanging="180"/>
            </w:pPr>
            <w:r>
              <w:t xml:space="preserve">•  Anomaly cluster visualization</w:t>
            </w:r>
          </w:p>
          <w:p>
            <w:pPr>
              <w:spacing w:after="20" w:before="20" w:line="280"/>
              <w:ind w:left="180" w:hanging="180"/>
            </w:pPr>
            <w:r>
              <w:t xml:space="preserve">•  Physicist / engineer chat UI</w:t>
            </w:r>
          </w:p>
          <w:p>
            <w:pPr>
              <w:spacing w:after="20" w:before="20" w:line="280"/>
              <w:ind w:left="180" w:hanging="180"/>
            </w:pPr>
            <w:r>
              <w:t xml:space="preserve">•  AI Interaction Framework extract + cluster + answer-with-citations primitives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Shot-log and run-plan databases (MDSplus, custom)</w:t>
            </w:r>
          </w:p>
          <w:p>
            <w:pPr>
              <w:spacing w:after="20" w:before="20" w:line="280"/>
              <w:ind w:left="180" w:hanging="180"/>
            </w:pPr>
            <w:r>
              <w:t xml:space="preserve">•  Diagnostic-data reduction pipelines</w:t>
            </w:r>
          </w:p>
          <w:p>
            <w:pPr>
              <w:spacing w:after="20" w:before="20" w:line="280"/>
              <w:ind w:left="180" w:hanging="180"/>
            </w:pPr>
            <w:r>
              <w:t xml:space="preserve">•  Electronic operator logs</w:t>
            </w:r>
          </w:p>
          <w:p>
            <w:pPr>
              <w:spacing w:after="20" w:before="20" w:line="280"/>
              <w:ind w:left="180" w:hanging="180"/>
            </w:pPr>
            <w:r>
              <w:t xml:space="preserve">•  Machine-protection and interlock logs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Guardrails &amp; Compliance</w:t>
            </w:r>
          </w:p>
        </w:tc>
        <w:tc>
          <w:tcPr>
            <w:tcW w:type="dxa" w:w="4680"/>
            <w:tcBorders>
              <w:top w:val="single" w:color="BFBFBF" w:sz="4"/>
              <w:left w:val="single" w:color="BFBFBF" w:sz="4"/>
              <w:bottom w:val="single" w:color="BFBFBF" w:sz="4"/>
              <w:right w:val="single" w:color="BFBFBF" w:sz="4"/>
            </w:tcBorders>
            <w:shd w:fill="D9E6F2" w:color="auto" w:val="clear"/>
            <w:tcMar>
              <w:top w:type="dxa" w:w="100"/>
              <w:left w:type="dxa" w:w="140"/>
              <w:bottom w:type="dxa" w:w="100"/>
              <w:right w:type="dxa" w:w="140"/>
            </w:tcMar>
          </w:tcPr>
          <w:p>
            <w:r>
              <w:rPr>
                <w:b/>
                <w:bCs/>
              </w:rPr>
              <w:t xml:space="preserve">Key Metrics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Read-only — no access to plasma control or interlock systems</w:t>
            </w:r>
          </w:p>
          <w:p>
            <w:pPr>
              <w:spacing w:after="20" w:before="20" w:line="280"/>
              <w:ind w:left="180" w:hanging="180"/>
            </w:pPr>
            <w:r>
              <w:t xml:space="preserve">•  Every answer cites the originating log or record</w:t>
            </w:r>
          </w:p>
          <w:p>
            <w:pPr>
              <w:spacing w:after="20" w:before="20" w:line="280"/>
              <w:ind w:left="180" w:hanging="180"/>
            </w:pPr>
            <w:r>
              <w:t xml:space="preserve">•  Export-controlled physics content scoped by role (US Part 810, UK counterpart)</w:t>
            </w:r>
          </w:p>
          <w:p>
            <w:pPr>
              <w:spacing w:after="20" w:before="20" w:line="280"/>
              <w:ind w:left="180" w:hanging="180"/>
            </w:pPr>
            <w:r>
              <w:t xml:space="preserve">•  Refuse-if-ungrounded on performance claims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line="280"/>
              <w:ind w:left="180" w:hanging="180"/>
            </w:pPr>
            <w:r>
              <w:t xml:space="preserve">•  Shots per physicist-week of analysis</w:t>
            </w:r>
          </w:p>
          <w:p>
            <w:pPr>
              <w:spacing w:after="20" w:before="20" w:line="280"/>
              <w:ind w:left="180" w:hanging="180"/>
            </w:pPr>
            <w:r>
              <w:t xml:space="preserve">•  Time to weekly campaign report</w:t>
            </w:r>
          </w:p>
          <w:p>
            <w:pPr>
              <w:spacing w:after="20" w:before="20" w:line="280"/>
              <w:ind w:left="180" w:hanging="180"/>
            </w:pPr>
            <w:r>
              <w:t xml:space="preserve">•  Anomaly-cluster coverage (% of disruptions explained)</w:t>
            </w:r>
          </w:p>
          <w:p>
            <w:pPr>
              <w:spacing w:after="20" w:before="20" w:line="280"/>
              <w:ind w:left="180" w:hanging="180"/>
            </w:pPr>
            <w:r>
              <w:t xml:space="preserve">•  Campaign re-planning turnaround</w:t>
            </w:r>
          </w:p>
        </w:tc>
      </w:tr>
    </w:tbl>
    <w:p>
      <w:pPr>
        <w:spacing w:before="200"/>
      </w:pPr>
    </w:p>
    <w:p>
      <w:pPr>
        <w:pStyle w:val="Heading1"/>
        <w:spacing w:after="160" w:before="320"/>
      </w:pPr>
      <w:r>
        <w:rPr>
          <w:b/>
          <w:bCs/>
          <w:color w:val="0B2E4F"/>
          <w:sz w:val="36"/>
          <w:szCs w:val="36"/>
        </w:rPr>
        <w:t xml:space="preserve">Release Plan</w:t>
      </w:r>
    </w:p>
    <w:p>
      <w:pPr>
        <w:spacing w:after="60" w:before="60" w:line="300"/>
      </w:pPr>
      <w:r>
        <w:t xml:space="preserve">Releases are sequenced to ship highest-value, highest-readiness apps first, prove the AI Interaction Framework's governance behaviors in a nuclear environment, and use revenue and reference stories from early waves to fund later ones. The waves are listed below; the summary matrix earlier in the document assigns every app to a wave.</w:t>
      </w:r>
    </w:p>
    <w:p>
      <w:pPr>
        <w:pStyle w:val="Heading2"/>
        <w:spacing w:after="120" w:before="260"/>
      </w:pPr>
      <w:r>
        <w:rPr>
          <w:b/>
          <w:bCs/>
          <w:color w:val="2E5680"/>
          <w:sz w:val="28"/>
          <w:szCs w:val="28"/>
        </w:rPr>
        <w:t xml:space="preserve">Wave 1 — Foundation + four flagship apps (months 0–6)</w:t>
      </w:r>
    </w:p>
    <w:p>
      <w:pPr>
        <w:pStyle w:val="ListParagraph"/>
        <w:numPr>
          <w:ilvl w:val="0"/>
          <w:numId w:val="2"/>
        </w:numPr>
        <w:spacing w:after="20" w:before="20" w:line="300"/>
      </w:pPr>
      <w:r>
        <w:t xml:space="preserve">AI Interaction Framework (foundational module) — published with reference documentation, sample app, and evaluation harness tuned to nuclear-grade citation expectations.</w:t>
      </w:r>
    </w:p>
    <w:p>
      <w:pPr>
        <w:pStyle w:val="ListParagraph"/>
        <w:numPr>
          <w:ilvl w:val="0"/>
          <w:numId w:val="2"/>
        </w:numPr>
        <w:spacing w:after="20" w:before="20" w:line="300"/>
      </w:pPr>
      <w:r>
        <w:t xml:space="preserve">LIC-01 Licensing Basis &amp; Design-Basis Extraction — anchors the licensing portfolio; establishes the citation and traceability pattern every other licensing and operations app reuses.</w:t>
      </w:r>
    </w:p>
    <w:p>
      <w:pPr>
        <w:pStyle w:val="ListParagraph"/>
        <w:numPr>
          <w:ilvl w:val="0"/>
          <w:numId w:val="2"/>
        </w:numPr>
        <w:spacing w:after="20" w:before="20" w:line="300"/>
      </w:pPr>
      <w:r>
        <w:t xml:space="preserve">OPS-01 Operating Experience (OpEx) Intelligence — broad fleet applicability, short integration path (INPO / NRC feeds), clear measurement baseline on applicability determinations.</w:t>
      </w:r>
    </w:p>
    <w:p>
      <w:pPr>
        <w:pStyle w:val="ListParagraph"/>
        <w:numPr>
          <w:ilvl w:val="0"/>
          <w:numId w:val="2"/>
        </w:numPr>
        <w:spacing w:after="20" w:before="20" w:line="300"/>
      </w:pPr>
      <w:r>
        <w:t xml:space="preserve">OPS-03 Procedure Authoring &amp; Change Assistant — concrete operations ROI; builds credibility with operations support, training, and licensing.</w:t>
      </w:r>
    </w:p>
    <w:p>
      <w:pPr>
        <w:pStyle w:val="ListParagraph"/>
        <w:numPr>
          <w:ilvl w:val="0"/>
          <w:numId w:val="2"/>
        </w:numPr>
        <w:spacing w:after="20" w:before="20" w:line="300"/>
      </w:pPr>
      <w:r>
        <w:t xml:space="preserve">RAD-01 ALARA, RWP Drafting &amp; Dose Review Copilot — first guided-copilot reference customer; demonstrates role scoping and low-confidence escalation in a safety-sensitive setting, and addresses a measurable collective-dose target.</w:t>
      </w:r>
    </w:p>
    <w:p>
      <w:pPr>
        <w:pStyle w:val="Heading2"/>
        <w:spacing w:after="120" w:before="260"/>
      </w:pPr>
      <w:r>
        <w:rPr>
          <w:b/>
          <w:bCs/>
          <w:color w:val="2E5680"/>
          <w:sz w:val="28"/>
          <w:szCs w:val="28"/>
        </w:rPr>
        <w:t xml:space="preserve">Wave 2 — Deepen per-domain coverage (months 6–12)</w:t>
      </w:r>
    </w:p>
    <w:p>
      <w:pPr>
        <w:pStyle w:val="ListParagraph"/>
        <w:numPr>
          <w:ilvl w:val="0"/>
          <w:numId w:val="2"/>
        </w:numPr>
        <w:spacing w:after="20" w:before="20" w:line="300"/>
      </w:pPr>
      <w:r>
        <w:t xml:space="preserve">LIC-02 Regulator Submittal Drafting Assistant — ships in Wave 2 so it is in production before its downstream partner LIC-03 Design Change Screener matures (the two apps are designed to operate as a paired workflow).</w:t>
      </w:r>
    </w:p>
    <w:p>
      <w:pPr>
        <w:pStyle w:val="ListParagraph"/>
        <w:numPr>
          <w:ilvl w:val="0"/>
          <w:numId w:val="2"/>
        </w:numPr>
        <w:spacing w:after="20" w:before="20" w:line="300"/>
      </w:pPr>
      <w:r>
        <w:t xml:space="preserve">LIC-03 10 CFR 50.59 / Design Change Screener &amp; Evaluator</w:t>
      </w:r>
    </w:p>
    <w:p>
      <w:pPr>
        <w:pStyle w:val="ListParagraph"/>
        <w:numPr>
          <w:ilvl w:val="0"/>
          <w:numId w:val="2"/>
        </w:numPr>
        <w:spacing w:after="20" w:before="20" w:line="300"/>
      </w:pPr>
      <w:r>
        <w:t xml:space="preserve">LIC-05 Nuclear-Grade Supply Chain &amp; CFSI Qualification Copilot</w:t>
      </w:r>
    </w:p>
    <w:p>
      <w:pPr>
        <w:pStyle w:val="ListParagraph"/>
        <w:numPr>
          <w:ilvl w:val="0"/>
          <w:numId w:val="2"/>
        </w:numPr>
        <w:spacing w:after="20" w:before="20" w:line="300"/>
      </w:pPr>
      <w:r>
        <w:t xml:space="preserve">OPS-02 Control Room Log Triage &amp; Shift Turnover Copilot</w:t>
      </w:r>
    </w:p>
    <w:p>
      <w:pPr>
        <w:pStyle w:val="ListParagraph"/>
        <w:numPr>
          <w:ilvl w:val="0"/>
          <w:numId w:val="2"/>
        </w:numPr>
        <w:spacing w:after="20" w:before="20" w:line="300"/>
      </w:pPr>
      <w:r>
        <w:t xml:space="preserve">REG-01 LER &amp; Regulatory Reporting Drafting Assistant</w:t>
      </w:r>
    </w:p>
    <w:p>
      <w:pPr>
        <w:pStyle w:val="Heading2"/>
        <w:spacing w:after="120" w:before="260"/>
      </w:pPr>
      <w:r>
        <w:rPr>
          <w:b/>
          <w:bCs/>
          <w:color w:val="2E5680"/>
          <w:sz w:val="28"/>
          <w:szCs w:val="28"/>
        </w:rPr>
        <w:t xml:space="preserve">Wave 3 — Complete the nuclear portfolio (months 12–18)</w:t>
      </w:r>
    </w:p>
    <w:p>
      <w:pPr>
        <w:pStyle w:val="ListParagraph"/>
        <w:numPr>
          <w:ilvl w:val="0"/>
          <w:numId w:val="2"/>
        </w:numPr>
        <w:spacing w:after="20" w:before="20" w:line="300"/>
      </w:pPr>
      <w:r>
        <w:t xml:space="preserve">LIC-04 PSA / PRA Narrative Copilot</w:t>
      </w:r>
    </w:p>
    <w:p>
      <w:pPr>
        <w:pStyle w:val="ListParagraph"/>
        <w:numPr>
          <w:ilvl w:val="0"/>
          <w:numId w:val="2"/>
        </w:numPr>
        <w:spacing w:after="20" w:before="20" w:line="300"/>
      </w:pPr>
      <w:r>
        <w:t xml:space="preserve">OPS-04 Outage Work Package Generator</w:t>
      </w:r>
    </w:p>
    <w:p>
      <w:pPr>
        <w:pStyle w:val="ListParagraph"/>
        <w:numPr>
          <w:ilvl w:val="0"/>
          <w:numId w:val="2"/>
        </w:numPr>
        <w:spacing w:after="20" w:before="20" w:line="300"/>
      </w:pPr>
      <w:r>
        <w:t xml:space="preserve">OPS-05 Predictive Maintenance Action Advisor</w:t>
      </w:r>
    </w:p>
    <w:p>
      <w:pPr>
        <w:pStyle w:val="ListParagraph"/>
        <w:numPr>
          <w:ilvl w:val="0"/>
          <w:numId w:val="2"/>
        </w:numPr>
        <w:spacing w:after="20" w:before="20" w:line="300"/>
      </w:pPr>
      <w:r>
        <w:t xml:space="preserve">FUS-01 Fusion Experiment Campaign Analyst</w:t>
      </w:r>
    </w:p>
    <w:p>
      <w:pPr>
        <w:pStyle w:val="Heading2"/>
        <w:spacing w:after="120" w:before="260"/>
      </w:pPr>
      <w:r>
        <w:rPr>
          <w:b/>
          <w:bCs/>
          <w:color w:val="2E5680"/>
          <w:sz w:val="28"/>
          <w:szCs w:val="28"/>
        </w:rPr>
        <w:t xml:space="preserve">Prioritization rationale</w:t>
      </w:r>
    </w:p>
    <w:p>
      <w:pPr>
        <w:spacing w:after="60" w:before="60" w:line="300"/>
      </w:pPr>
      <w:r>
        <w:t xml:space="preserve">Wave 1 is chosen to prove the framework across all four AI interaction patterns (document intelligence via LIC-01, decision support via OPS-01, drafting via OPS-03, guided copilot via RAD-01). Each of those apps also has an unambiguous buyer, a short integration path (licensing and procedure systems, INPO/NRC feeds, RP platforms), and a natural measurement baseline (licensing-basis cycle time, OpEx applicability SLA, procedure rev-up lead time, collective dose). Wave 2 adds apps where the governance posture is most demanding (LIC-02 submittal drafting, LIC-03 50.59, LIC-05 CFSI, REG-01 LER) and benefits from the operational feedback accumulated on Wave 1. Wave 3 tackles the technically hardest integrations (PRA tooling, outage scheduling platforms, PdM stacks, fusion shot-log infrastructures) once the framework is mature and industry relationships with nuclear and fusion vendors are in place.</w:t>
      </w:r>
    </w:p>
    <w:p>
      <w:pPr>
        <w:pStyle w:val="Heading1"/>
        <w:spacing w:after="160" w:before="320"/>
      </w:pPr>
      <w:r>
        <w:rPr>
          <w:b/>
          <w:bCs/>
          <w:color w:val="0B2E4F"/>
          <w:sz w:val="36"/>
          <w:szCs w:val="36"/>
        </w:rPr>
        <w:t xml:space="preserve">Mendix Marketplace Packaging</w:t>
      </w:r>
    </w:p>
    <w:p>
      <w:pPr>
        <w:spacing w:after="60" w:before="60" w:line="300"/>
      </w:pPr>
      <w:r>
        <w:t xml:space="preserve">Each application ships as a Marketplace module with a consistent packaging pattern. This makes the portfolio feel coherent to Mendix developers and easier to evaluate for nuclear IT, cybersecurity, and licensing.</w:t>
      </w:r>
    </w:p>
    <w:p>
      <w:pPr>
        <w:pStyle w:val="Heading2"/>
        <w:spacing w:after="120" w:before="260"/>
      </w:pPr>
      <w:r>
        <w:rPr>
          <w:b/>
          <w:bCs/>
          <w:color w:val="2E5680"/>
          <w:sz w:val="28"/>
          <w:szCs w:val="28"/>
        </w:rPr>
        <w:t xml:space="preserve">Per-app deliverables</w:t>
      </w:r>
    </w:p>
    <w:p>
      <w:pPr>
        <w:pStyle w:val="ListParagraph"/>
        <w:numPr>
          <w:ilvl w:val="0"/>
          <w:numId w:val="2"/>
        </w:numPr>
        <w:spacing w:after="20" w:before="20" w:line="300"/>
      </w:pPr>
      <w:r>
        <w:t xml:space="preserve">Mendix module (.mpk) targeting Mendix 10 LTS and later, with Atlas UI pages and microflow-first orchestration.</w:t>
      </w:r>
    </w:p>
    <w:p>
      <w:pPr>
        <w:pStyle w:val="ListParagraph"/>
        <w:numPr>
          <w:ilvl w:val="0"/>
          <w:numId w:val="2"/>
        </w:numPr>
        <w:spacing w:after="20" w:before="20" w:line="300"/>
      </w:pPr>
      <w:r>
        <w:t xml:space="preserve">Reference implementation: a runnable sample app showing the primary business workflow end-to-end, with nuclear-representative synthetic data.</w:t>
      </w:r>
    </w:p>
    <w:p>
      <w:pPr>
        <w:pStyle w:val="ListParagraph"/>
        <w:numPr>
          <w:ilvl w:val="0"/>
          <w:numId w:val="2"/>
        </w:numPr>
        <w:spacing w:after="20" w:before="20" w:line="300"/>
      </w:pPr>
      <w:r>
        <w:t xml:space="preserve">Documentation bundle: business-owner overview, administrator guide, developer guide, API reference, governance and audit guide, and regulator-facing documentation package.</w:t>
      </w:r>
    </w:p>
    <w:p>
      <w:pPr>
        <w:pStyle w:val="ListParagraph"/>
        <w:numPr>
          <w:ilvl w:val="0"/>
          <w:numId w:val="2"/>
        </w:numPr>
        <w:spacing w:after="20" w:before="20" w:line="300"/>
      </w:pPr>
      <w:r>
        <w:t xml:space="preserve">Evaluation harness: test data, golden answers, and baseline metrics for grounding precision, citation rate, hallucination rate, and refusal rate on out-of-scope queries.</w:t>
      </w:r>
    </w:p>
    <w:p>
      <w:pPr>
        <w:pStyle w:val="ListParagraph"/>
        <w:numPr>
          <w:ilvl w:val="0"/>
          <w:numId w:val="2"/>
        </w:numPr>
        <w:spacing w:after="20" w:before="20" w:line="300"/>
      </w:pPr>
      <w:r>
        <w:t xml:space="preserve">Security artifacts: data-flow diagram, permission matrix, prompt/completion retention policy, SGI-handling statement, Part 810 and export-control handling statement, and 10 CFR 73.54 / Reg. Guide 5.71 cybersecurity alignment memo.</w:t>
      </w:r>
    </w:p>
    <w:p>
      <w:pPr>
        <w:pStyle w:val="ListParagraph"/>
        <w:numPr>
          <w:ilvl w:val="0"/>
          <w:numId w:val="2"/>
        </w:numPr>
        <w:spacing w:after="20" w:before="20" w:line="300"/>
      </w:pPr>
      <w:r>
        <w:t xml:space="preserve">Release notes and semantic versioning aligned with Mendix Marketplace conventions, plus an NQA-1 configuration-management memo for safety-related deployments.</w:t>
      </w:r>
    </w:p>
    <w:p>
      <w:pPr>
        <w:pStyle w:val="Heading2"/>
        <w:spacing w:after="120" w:before="260"/>
      </w:pPr>
      <w:r>
        <w:rPr>
          <w:b/>
          <w:bCs/>
          <w:color w:val="2E5680"/>
          <w:sz w:val="28"/>
          <w:szCs w:val="28"/>
        </w:rPr>
        <w:t xml:space="preserve">Shared assets across the portfolio</w:t>
      </w:r>
    </w:p>
    <w:p>
      <w:pPr>
        <w:pStyle w:val="ListParagraph"/>
        <w:numPr>
          <w:ilvl w:val="0"/>
          <w:numId w:val="2"/>
        </w:numPr>
        <w:spacing w:after="20" w:before="20" w:line="300"/>
      </w:pPr>
      <w:r>
        <w:t xml:space="preserve">AI Interaction Framework module (dependency of every other module).</w:t>
      </w:r>
    </w:p>
    <w:p>
      <w:pPr>
        <w:pStyle w:val="ListParagraph"/>
        <w:numPr>
          <w:ilvl w:val="0"/>
          <w:numId w:val="2"/>
        </w:numPr>
        <w:spacing w:after="20" w:before="20" w:line="300"/>
      </w:pPr>
      <w:r>
        <w:t xml:space="preserve">Common Atlas UI components: cited-answer card, approval queue, confidence indicator, evidence panel, dose / exposure banner.</w:t>
      </w:r>
    </w:p>
    <w:p>
      <w:pPr>
        <w:pStyle w:val="ListParagraph"/>
        <w:numPr>
          <w:ilvl w:val="0"/>
          <w:numId w:val="2"/>
        </w:numPr>
        <w:spacing w:after="20" w:before="20" w:line="300"/>
      </w:pPr>
      <w:r>
        <w:t xml:space="preserve">Common data model additions: Citation, PromptInvocation, ReviewAction, AuditEvent, CommitmentLink.</w:t>
      </w:r>
    </w:p>
    <w:p>
      <w:pPr>
        <w:pStyle w:val="ListParagraph"/>
        <w:numPr>
          <w:ilvl w:val="0"/>
          <w:numId w:val="2"/>
        </w:numPr>
        <w:spacing w:after="20" w:before="20" w:line="300"/>
      </w:pPr>
      <w:r>
        <w:t xml:space="preserve">Common connectors: Azure OpenAI, Amazon Bedrock (Claude), Vertex, on-prem / air-gapped LLM gateway; Passport, Asset Suite, Maximo, ProjectWise, Documentum, OSIsoft PI, NRC ADAMS, INPO / WANO OpEx.</w:t>
      </w:r>
    </w:p>
    <w:p>
      <w:pPr>
        <w:pStyle w:val="Heading2"/>
        <w:spacing w:after="120" w:before="260"/>
      </w:pPr>
      <w:r>
        <w:rPr>
          <w:b/>
          <w:bCs/>
          <w:color w:val="2E5680"/>
          <w:sz w:val="28"/>
          <w:szCs w:val="28"/>
        </w:rPr>
        <w:t xml:space="preserve">Licensing and commercial model</w:t>
      </w:r>
    </w:p>
    <w:p>
      <w:pPr>
        <w:spacing w:after="60" w:before="60" w:line="300"/>
      </w:pPr>
      <w:r>
        <w:t xml:space="preserve">The AI Interaction Framework is published as a free foundational module to maximize downstream adoption. Application modules are published as paid listings with tiered pricing based on fleet size (sites / units), deployment type (operating fleet vs. new build vs. fusion facility), and number of named business processes. A starter bundle — Framework plus one Wave 1 application — targets business process owners evaluating their first deployment. An enterprise bundle combines the framework with all Wave 1 apps for multi-unit operators and advanced-reactor developers. Licensing exhibits and a support / SLA matrix ship as separate documents at publish time.</w:t>
      </w:r>
    </w:p>
    <w:p>
      <w:pPr>
        <w:pStyle w:val="Heading1"/>
        <w:spacing w:after="160" w:before="320"/>
      </w:pPr>
      <w:r>
        <w:rPr>
          <w:b/>
          <w:bCs/>
          <w:color w:val="0B2E4F"/>
          <w:sz w:val="36"/>
          <w:szCs w:val="36"/>
        </w:rPr>
        <w:t xml:space="preserve">Appendix · Glossary</w:t>
      </w:r>
    </w:p>
    <w:p>
      <w:pPr>
        <w:spacing w:after="60" w:before="60" w:line="300"/>
      </w:pPr>
      <w:r>
        <w:t xml:space="preserve">Selected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10 CFR 50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Domestic Licensing of Production and Utilization Facilities (operating fleet).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10 CFR 52</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Licenses, Certifications, and Approvals for Nuclear Power Plants (new build, design certification, COL).</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10 CFR 53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Risk-Informed, Technology-Inclusive Regulatory Framework for Advanced Reactors.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10 CFR 50.59</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Changes, tests, and experiments — licensee screening/evaluation rule.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10 CFR 50.72 / 50.73</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Immediate notification and LER reporting requirements.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ALARA</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As Low As Reasonably Achievable — radiological dose optimization principle.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CAP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Corrective Action Program.</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CCF</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Common-Cause Failure.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CFSI</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Counterfeit, Fraudulent, and Suspect Items.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CGD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Commercial-Grade Dedication (of items for nuclear safety-related use).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CNSC</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Canadian Nuclear Safety Commission.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COLA / COL</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Combined License Application / Combined License.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CR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Condition Report.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DBD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Design Basis Document.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DCR / ECO / EC</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Design Change Request / Engineering Change Order / Engineering Change.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FSAR / UFSAR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Final Safety Analysis Report / Updated FSAR.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HP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Human Performance (also Health Physics, context-dependent).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HRA</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Human Reliability Analysis.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IAEA</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International Atomic Energy Agency.</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INES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International Nuclear and Radiological Event Scale.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INPO / WANO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Institute of Nuclear Power Operations / World Association of Nuclear Operators.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LAR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License Amendment Request.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LER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Licensee Event Report.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LOCA / MSLB</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Loss-of-Coolant Accident / Main Steam Line Break.</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NEI</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Nuclear Energy Institute.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NQA-1</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ASME Quality Assurance Requirements for Nuclear Facility Applications.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NRC</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U.S. Nuclear Regulatory Commission.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OpEx</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Operating Experience.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ONR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Office for Nuclear Regulation (United Kingdom).</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PdM</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Predictive Maintenance.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Part 21</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CFR Part 21 — Reporting of Defects and Noncompliance.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Part 810</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 CFR Part 810 — U.S. export controls on nuclear technology.</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PRA / PSA</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Probabilistic Risk Assessment / Probabilistic Safety Assessment.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RAI</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Request for Additional Information (regulator to licensee).</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Reg. Guide 5.71</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NRC Regulatory Guide on cybersecurity programs for nuclear facilities.</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RP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Radiation Protection.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RWP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Radiation Work Permit.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SAR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Safety Analysis Report.</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SER / SE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Safety Evaluation Report / Safety Evaluation (from regulator).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SGI / SRI</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Safeguards Information / Security-Related Information.</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SMR</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Small Modular Reactor.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SRO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Senior Reactor Operator.</w:t>
            </w:r>
          </w:p>
        </w:tc>
      </w:tr>
      <w:tr>
        <w:tc>
          <w:tcPr>
            <w:tcW w:type="dxa" w:w="2600"/>
            <w:tcBorders>
              <w:top w:val="single" w:color="BFBFBF" w:sz="4"/>
              <w:left w:val="single" w:color="BFBFBF" w:sz="4"/>
              <w:bottom w:val="single" w:color="BFBFBF" w:sz="4"/>
              <w:right w:val="single" w:color="BFBFBF" w:sz="4"/>
            </w:tcBorders>
            <w:shd w:fill="F1F1F1" w:color="auto" w:val="clear"/>
            <w:tcMar>
              <w:top w:type="dxa" w:w="100"/>
              <w:left w:type="dxa" w:w="140"/>
              <w:bottom w:type="dxa" w:w="100"/>
              <w:right w:type="dxa" w:w="140"/>
            </w:tcMar>
          </w:tcPr>
          <w:p>
            <w:r>
              <w:rPr>
                <w:b/>
                <w:bCs/>
              </w:rPr>
              <w:t xml:space="preserve">Tech Specs / TS Bases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Plant Technical Specifications and their bases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E5680"/>
        <w:sz w:val="18"/>
        <w:szCs w:val="18"/>
      </w:rPr>
      <w:t xml:space="preserve">Prepared by Marco Leon  ·  April 2026  ·  Page </w:t>
    </w:r>
    <w:r>
      <w:rPr>
        <w:color w:val="2E5680"/>
        <w:sz w:val="18"/>
        <w:szCs w:val="18"/>
      </w:rPr>
      <w:fldChar w:fldCharType="begin"/>
      <w:instrText xml:space="preserve">PAGE</w:instrText>
      <w:fldChar w:fldCharType="separate"/>
      <w:fldChar w:fldCharType="end"/>
    </w:r>
    <w:r>
      <w:rPr>
        <w:color w:val="2E5680"/>
        <w:sz w:val="18"/>
        <w:szCs w:val="18"/>
      </w:rPr>
      <w:t xml:space="preserve"> of </w:t>
    </w:r>
    <w:r>
      <w:rPr>
        <w:color w:val="2E56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2E5680"/>
        <w:sz w:val="18"/>
        <w:szCs w:val="18"/>
      </w:rPr>
      <w:t xml:space="preserve">AI Interaction Apps  ·  Nuclear Energy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2E4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568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2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Apps — Nuclear Energy Portfolio</dc:title>
  <dc:creator>Marco Leon</dc:creator>
  <dc:description>Portfolio plan for nuclear-sector AI Interaction applications on the Mendix Marketplace.</dc:description>
  <cp:lastModifiedBy>Un-named</cp:lastModifiedBy>
  <cp:revision>1</cp:revision>
  <dcterms:created xsi:type="dcterms:W3CDTF">2026-04-19T03:39:54.832Z</dcterms:created>
  <dcterms:modified xsi:type="dcterms:W3CDTF">2026-04-19T03:39:54.832Z</dcterms:modified>
</cp:coreProperties>
</file>

<file path=docProps/custom.xml><?xml version="1.0" encoding="utf-8"?>
<Properties xmlns="http://schemas.openxmlformats.org/officeDocument/2006/custom-properties" xmlns:vt="http://schemas.openxmlformats.org/officeDocument/2006/docPropsVTypes"/>
</file>