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МІНІСТЕРСТВО ОСВІТИ І НАУКИ УКРАЇНИ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Національний аерокосмічний університет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«Харківський авіаційний інститут»</w:t>
      </w:r>
    </w:p>
    <w:p w:rsidR="00DA3734" w:rsidRPr="00A234C1" w:rsidRDefault="00DA3734">
      <w:pPr>
        <w:rPr>
          <w:lang w:val="ru-RU"/>
        </w:rPr>
      </w:pP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Кафедра мехатроніки та електротехніки</w:t>
      </w:r>
    </w:p>
    <w:p w:rsidR="00DA3734" w:rsidRPr="00A234C1" w:rsidRDefault="00DA3734">
      <w:pPr>
        <w:rPr>
          <w:lang w:val="ru-RU"/>
        </w:rPr>
      </w:pPr>
      <w:bookmarkStart w:id="0" w:name="_GoBack"/>
      <w:bookmarkEnd w:id="0"/>
    </w:p>
    <w:p w:rsidR="00DA3734" w:rsidRPr="00A234C1" w:rsidRDefault="00DA3734">
      <w:pPr>
        <w:rPr>
          <w:lang w:val="ru-RU"/>
        </w:rPr>
      </w:pP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b/>
          <w:lang w:val="ru-RU"/>
        </w:rPr>
        <w:t>РЕФЕРАТ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з дисципліни «Мехатронні системи»</w:t>
      </w:r>
    </w:p>
    <w:p w:rsidR="00DA3734" w:rsidRPr="00A234C1" w:rsidRDefault="00DA3734">
      <w:pPr>
        <w:rPr>
          <w:lang w:val="ru-RU"/>
        </w:rPr>
      </w:pP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b/>
          <w:lang w:val="ru-RU"/>
        </w:rPr>
        <w:t xml:space="preserve">На тему: «КЛАСИФІКАЦІЯ, МАТЕМАТИЧНИЙ ОПИС ТА СТРУКТУРНА СХЕМА </w:t>
      </w:r>
      <w:r w:rsidRPr="00A234C1">
        <w:rPr>
          <w:b/>
          <w:lang w:val="ru-RU"/>
        </w:rPr>
        <w:t>МЕХАТРОННОЇ СИСТЕМИ ПІДВІСУ БПЛА»</w:t>
      </w:r>
    </w:p>
    <w:p w:rsidR="00DA3734" w:rsidRPr="00A234C1" w:rsidRDefault="00DA3734" w:rsidP="00A234C1">
      <w:pPr>
        <w:ind w:firstLine="0"/>
        <w:rPr>
          <w:lang w:val="ru-RU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234C1" w:rsidRPr="00AC285A" w:rsidRDefault="00A234C1" w:rsidP="00A234C1">
      <w:pPr>
        <w:widowControl w:val="0"/>
        <w:tabs>
          <w:tab w:val="left" w:pos="7755"/>
          <w:tab w:val="left" w:pos="7999"/>
        </w:tabs>
        <w:autoSpaceDE w:val="0"/>
        <w:autoSpaceDN w:val="0"/>
        <w:spacing w:before="232" w:line="240" w:lineRule="auto"/>
        <w:ind w:left="4678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Здобувача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освіти 359 групи</w:t>
      </w:r>
    </w:p>
    <w:p w:rsidR="00A234C1" w:rsidRPr="00AC285A" w:rsidRDefault="00A234C1" w:rsidP="00A234C1">
      <w:pPr>
        <w:widowControl w:val="0"/>
        <w:tabs>
          <w:tab w:val="left" w:pos="7755"/>
          <w:tab w:val="left" w:pos="7999"/>
        </w:tabs>
        <w:autoSpaceDE w:val="0"/>
        <w:autoSpaceDN w:val="0"/>
        <w:spacing w:line="240" w:lineRule="auto"/>
        <w:ind w:left="4820" w:hanging="142"/>
        <w:rPr>
          <w:rFonts w:cs="Times New Roman"/>
          <w:szCs w:val="28"/>
          <w:lang w:val="uk-UA"/>
        </w:rPr>
      </w:pPr>
      <w:r>
        <w:rPr>
          <w:rFonts w:cs="Times New Roman"/>
          <w:szCs w:val="28"/>
          <w:u w:val="single"/>
          <w:lang w:val="uk-UA"/>
        </w:rPr>
        <w:t>Півторака А.М.</w:t>
      </w:r>
    </w:p>
    <w:p w:rsidR="00A234C1" w:rsidRPr="00AC285A" w:rsidRDefault="00A234C1" w:rsidP="00A234C1">
      <w:pPr>
        <w:widowControl w:val="0"/>
        <w:autoSpaceDE w:val="0"/>
        <w:autoSpaceDN w:val="0"/>
        <w:spacing w:before="2" w:line="276" w:lineRule="auto"/>
        <w:ind w:left="4701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Освітня програма: </w:t>
      </w:r>
      <w:r w:rsidRPr="00AC285A">
        <w:rPr>
          <w:rFonts w:cs="Times New Roman"/>
          <w:szCs w:val="28"/>
          <w:u w:val="single"/>
          <w:lang w:val="uk-UA"/>
        </w:rPr>
        <w:t>Комп’ютерно -</w:t>
      </w:r>
      <w:r w:rsidRPr="00AC285A">
        <w:rPr>
          <w:rFonts w:cs="Times New Roman"/>
          <w:spacing w:val="1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інтегровані</w:t>
      </w:r>
      <w:r w:rsidRPr="00AC285A">
        <w:rPr>
          <w:rFonts w:cs="Times New Roman"/>
          <w:spacing w:val="1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технологічні процеси і</w:t>
      </w:r>
      <w:r w:rsidRPr="00AC285A">
        <w:rPr>
          <w:rFonts w:cs="Times New Roman"/>
          <w:spacing w:val="-67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виробництва»</w:t>
      </w:r>
    </w:p>
    <w:p w:rsidR="00A234C1" w:rsidRPr="00AC285A" w:rsidRDefault="00A234C1" w:rsidP="00A234C1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Прийняв: 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доцент, к.т.н., доцент</w:t>
      </w:r>
    </w:p>
    <w:p w:rsidR="00A234C1" w:rsidRPr="00AC285A" w:rsidRDefault="00A234C1" w:rsidP="00A234C1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u w:val="single"/>
          <w:lang w:val="uk-UA"/>
        </w:rPr>
      </w:pPr>
      <w:r w:rsidRPr="00AC285A">
        <w:rPr>
          <w:rFonts w:cs="Times New Roman"/>
          <w:szCs w:val="28"/>
          <w:u w:val="single"/>
          <w:lang w:val="uk-UA"/>
        </w:rPr>
        <w:t>Кочук С.Б.</w:t>
      </w:r>
      <w:r w:rsidRPr="00AC285A">
        <w:rPr>
          <w:rFonts w:cs="Times New Roman"/>
          <w:szCs w:val="28"/>
          <w:lang w:val="uk-UA"/>
        </w:rPr>
        <w:t>_____________________</w:t>
      </w:r>
    </w:p>
    <w:p w:rsidR="00A234C1" w:rsidRPr="00AC285A" w:rsidRDefault="00A234C1" w:rsidP="00A234C1">
      <w:pPr>
        <w:spacing w:after="160" w:line="179" w:lineRule="exact"/>
        <w:ind w:left="4648" w:firstLine="0"/>
        <w:rPr>
          <w:rFonts w:ascii="Calibri" w:eastAsia="Calibri" w:hAnsi="Calibri" w:cs="Times New Roman"/>
          <w:sz w:val="18"/>
          <w:lang w:val="ru-RU"/>
        </w:rPr>
      </w:pPr>
      <w:r w:rsidRPr="00AC285A">
        <w:rPr>
          <w:rFonts w:ascii="Calibri" w:eastAsia="Calibri" w:hAnsi="Calibri" w:cs="Times New Roman"/>
          <w:sz w:val="18"/>
          <w:lang w:val="ru-RU"/>
        </w:rPr>
        <w:t xml:space="preserve"> (</w:t>
      </w:r>
      <w:r w:rsidRPr="00AC285A">
        <w:rPr>
          <w:rFonts w:eastAsia="Calibri" w:cs="Times New Roman"/>
          <w:sz w:val="18"/>
          <w:lang w:val="ru-RU"/>
        </w:rPr>
        <w:t>посада,</w:t>
      </w:r>
      <w:r w:rsidRPr="00AC285A">
        <w:rPr>
          <w:rFonts w:eastAsia="Calibri" w:cs="Times New Roman"/>
          <w:spacing w:val="-5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вчене</w:t>
      </w:r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звання,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науковий</w:t>
      </w:r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ступінь,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прізвище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та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ініціали)</w:t>
      </w:r>
    </w:p>
    <w:p w:rsidR="00A234C1" w:rsidRPr="00AC285A" w:rsidRDefault="00A234C1" w:rsidP="00A234C1">
      <w:pPr>
        <w:widowControl w:val="0"/>
        <w:tabs>
          <w:tab w:val="left" w:pos="6992"/>
          <w:tab w:val="left" w:pos="8315"/>
        </w:tabs>
        <w:autoSpaceDE w:val="0"/>
        <w:autoSpaceDN w:val="0"/>
        <w:spacing w:line="240" w:lineRule="auto"/>
        <w:ind w:left="4695" w:right="1206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Національна</w:t>
      </w:r>
      <w:r w:rsidRPr="00AC285A">
        <w:rPr>
          <w:rFonts w:cs="Times New Roman"/>
          <w:spacing w:val="-10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шкала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  <w:r w:rsidRPr="00AC285A">
        <w:rPr>
          <w:rFonts w:cs="Times New Roman"/>
          <w:w w:val="7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 xml:space="preserve"> Кількість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балів</w:t>
      </w:r>
      <w:r w:rsidRPr="00AC285A">
        <w:rPr>
          <w:rFonts w:cs="Times New Roman"/>
          <w:szCs w:val="28"/>
          <w:lang w:val="uk-UA"/>
        </w:rPr>
        <w:tab/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</w:p>
    <w:p w:rsidR="00A234C1" w:rsidRPr="00AC285A" w:rsidRDefault="00A234C1" w:rsidP="00A234C1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234C1" w:rsidRPr="00AC285A" w:rsidRDefault="00A234C1" w:rsidP="00A234C1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234C1" w:rsidRPr="00AC285A" w:rsidRDefault="00A234C1" w:rsidP="00A234C1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234C1" w:rsidRPr="00AC285A" w:rsidRDefault="00A234C1" w:rsidP="00A234C1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0"/>
          <w:szCs w:val="2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19"/>
          <w:szCs w:val="28"/>
          <w:lang w:val="uk-UA"/>
        </w:rPr>
      </w:pPr>
    </w:p>
    <w:p w:rsidR="00A234C1" w:rsidRPr="00AC285A" w:rsidRDefault="00A234C1" w:rsidP="00A234C1">
      <w:pPr>
        <w:widowControl w:val="0"/>
        <w:autoSpaceDE w:val="0"/>
        <w:autoSpaceDN w:val="0"/>
        <w:spacing w:before="88" w:line="240" w:lineRule="auto"/>
        <w:ind w:left="480" w:right="1130" w:firstLine="0"/>
        <w:jc w:val="center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м. Харків - 2025</w:t>
      </w:r>
    </w:p>
    <w:p w:rsidR="00DA3734" w:rsidRPr="00A234C1" w:rsidRDefault="00A234C1" w:rsidP="00A234C1">
      <w:pPr>
        <w:jc w:val="center"/>
        <w:rPr>
          <w:lang w:val="ru-RU"/>
        </w:rPr>
      </w:pPr>
      <w:r w:rsidRPr="00A234C1">
        <w:rPr>
          <w:lang w:val="ru-RU"/>
        </w:rPr>
        <w:br w:type="page"/>
      </w:r>
      <w:r w:rsidRPr="00A234C1">
        <w:rPr>
          <w:b/>
          <w:lang w:val="ru-RU"/>
        </w:rPr>
        <w:lastRenderedPageBreak/>
        <w:t>1. ОБРАНА М</w:t>
      </w:r>
      <w:r w:rsidRPr="00A234C1">
        <w:rPr>
          <w:b/>
          <w:lang w:val="ru-RU"/>
        </w:rPr>
        <w:t>ЕХАТРОННА СИСТЕМА</w:t>
      </w:r>
    </w:p>
    <w:p w:rsidR="00DA3734" w:rsidRPr="00A234C1" w:rsidRDefault="00A234C1">
      <w:pPr>
        <w:jc w:val="both"/>
        <w:rPr>
          <w:lang w:val="ru-RU"/>
        </w:rPr>
      </w:pPr>
      <w:r w:rsidRPr="00A234C1">
        <w:rPr>
          <w:lang w:val="ru-RU"/>
        </w:rPr>
        <w:t>Як МС, релевантну майбутньому проєкту, розглянуто двоступеневий стабілізований підвіс (</w:t>
      </w:r>
      <w:r>
        <w:t>gimbal</w:t>
      </w:r>
      <w:r w:rsidRPr="00A234C1">
        <w:rPr>
          <w:lang w:val="ru-RU"/>
        </w:rPr>
        <w:t>) БПЛА для мультиспектрального сенсора. Призначення підвісу — стабілізація лінії візування та компенсація кутових збурень носія у двох осях (</w:t>
      </w:r>
      <w:r>
        <w:t>Pitc</w:t>
      </w:r>
      <w:r>
        <w:t>h</w:t>
      </w:r>
      <w:r w:rsidRPr="00A234C1">
        <w:rPr>
          <w:lang w:val="ru-RU"/>
        </w:rPr>
        <w:t>/</w:t>
      </w:r>
      <w:r>
        <w:t>Roll</w:t>
      </w:r>
      <w:r w:rsidRPr="00A234C1">
        <w:rPr>
          <w:lang w:val="ru-RU"/>
        </w:rPr>
        <w:t>) з формуванням керуючих моментів електроприводами кожної осі.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b/>
          <w:lang w:val="ru-RU"/>
        </w:rPr>
        <w:t>2. КЛАСИФІКАЦІЯ ОБРАНОЇ МС</w:t>
      </w:r>
    </w:p>
    <w:p w:rsidR="00DA3734" w:rsidRPr="00A234C1" w:rsidRDefault="00A234C1">
      <w:pPr>
        <w:jc w:val="both"/>
        <w:rPr>
          <w:lang w:val="ru-RU"/>
        </w:rPr>
      </w:pPr>
      <w:r w:rsidRPr="00A234C1">
        <w:rPr>
          <w:lang w:val="ru-RU"/>
        </w:rPr>
        <w:t>2.1. За рівнем інтеграції (поколінням). Основною класифікаційною ознакою в мехатроніці доцільно вважати рівень інтеграції складових елементів. МС третього покол</w:t>
      </w:r>
      <w:r w:rsidRPr="00A234C1">
        <w:rPr>
          <w:lang w:val="ru-RU"/>
        </w:rPr>
        <w:t>іння характеризуються наявністю мікропроцесорів/контролерів та інтелектуалізацією процесів керування рухом. Двоступеневий підвіс БПЛА відноситься до МС третього покоління, оскільки містить контролер, сенсорну підсистему (</w:t>
      </w:r>
      <w:r>
        <w:t>IMU</w:t>
      </w:r>
      <w:r w:rsidRPr="00A234C1">
        <w:rPr>
          <w:lang w:val="ru-RU"/>
        </w:rPr>
        <w:t>/енкодери), цифрову обробку сигн</w:t>
      </w:r>
      <w:r w:rsidRPr="00A234C1">
        <w:rPr>
          <w:lang w:val="ru-RU"/>
        </w:rPr>
        <w:t>алів та замкнені контури стабілізації і керування приводами.</w:t>
      </w:r>
    </w:p>
    <w:p w:rsidR="00DA3734" w:rsidRPr="00A234C1" w:rsidRDefault="00A234C1">
      <w:pPr>
        <w:jc w:val="both"/>
        <w:rPr>
          <w:lang w:val="ru-RU"/>
        </w:rPr>
      </w:pPr>
      <w:r w:rsidRPr="00A234C1">
        <w:rPr>
          <w:lang w:val="ru-RU"/>
        </w:rPr>
        <w:t>2.2. За функціональним призначенням і структурою. За призначенням підвіс є керуючою мехатронною системою позиціонування (система орієнтації корисного навантаження). За типовим складом МС може бут</w:t>
      </w:r>
      <w:r w:rsidRPr="00A234C1">
        <w:rPr>
          <w:lang w:val="ru-RU"/>
        </w:rPr>
        <w:t>и описаний як сукупність трьох частин: силової (живлення, силова електроніка і привод), інформаційної (сенсори та оцінювання стану) і керуючої (регулятори і логіка).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b/>
          <w:lang w:val="ru-RU"/>
        </w:rPr>
        <w:t>3. МАТЕМАТИЧНИЙ ОПИС (ОДНА ВІСЬ ПІДВІСУ)</w:t>
      </w:r>
    </w:p>
    <w:p w:rsidR="00DA3734" w:rsidRPr="00A234C1" w:rsidRDefault="00A234C1">
      <w:pPr>
        <w:jc w:val="both"/>
        <w:rPr>
          <w:lang w:val="ru-RU"/>
        </w:rPr>
      </w:pPr>
      <w:r w:rsidRPr="00A234C1">
        <w:rPr>
          <w:lang w:val="ru-RU"/>
        </w:rPr>
        <w:t>Для математичного опису використано лінеаризовану</w:t>
      </w:r>
      <w:r w:rsidRPr="00A234C1">
        <w:rPr>
          <w:lang w:val="ru-RU"/>
        </w:rPr>
        <w:t xml:space="preserve"> модель однієї осі підвісу як електромеханічного об’єкта керування з електроприводом </w:t>
      </w:r>
      <w:r>
        <w:t>BLDC</w:t>
      </w:r>
      <w:r w:rsidRPr="00A234C1">
        <w:rPr>
          <w:lang w:val="ru-RU"/>
        </w:rPr>
        <w:t xml:space="preserve"> (еквівалентно — ДПС у моделі) та інерційним навантаженням. Позначення: </w:t>
      </w:r>
      <w:r>
        <w:t>θ</w:t>
      </w:r>
      <w:r w:rsidRPr="00A234C1">
        <w:rPr>
          <w:lang w:val="ru-RU"/>
        </w:rPr>
        <w:t xml:space="preserve"> — кут осі, </w:t>
      </w:r>
      <w:r>
        <w:t>ω</w:t>
      </w:r>
      <w:r w:rsidRPr="00A234C1">
        <w:rPr>
          <w:lang w:val="ru-RU"/>
        </w:rPr>
        <w:t xml:space="preserve">= </w:t>
      </w:r>
      <w:r>
        <w:t>dθ</w:t>
      </w:r>
      <w:r w:rsidRPr="00A234C1">
        <w:rPr>
          <w:lang w:val="ru-RU"/>
        </w:rPr>
        <w:t>/</w:t>
      </w:r>
      <w:r>
        <w:t>dt</w:t>
      </w:r>
      <w:r w:rsidRPr="00A234C1">
        <w:rPr>
          <w:lang w:val="ru-RU"/>
        </w:rPr>
        <w:t xml:space="preserve"> — кутова швидкість, </w:t>
      </w:r>
      <w:r>
        <w:t>i</w:t>
      </w:r>
      <w:r w:rsidRPr="00A234C1">
        <w:rPr>
          <w:lang w:val="ru-RU"/>
        </w:rPr>
        <w:t xml:space="preserve"> — струм фази (еквівалентний), </w:t>
      </w:r>
      <w:r>
        <w:t>u</w:t>
      </w:r>
      <w:r w:rsidRPr="00A234C1">
        <w:rPr>
          <w:lang w:val="ru-RU"/>
        </w:rPr>
        <w:t xml:space="preserve"> — керуюча напруга н</w:t>
      </w:r>
      <w:r w:rsidRPr="00A234C1">
        <w:rPr>
          <w:lang w:val="ru-RU"/>
        </w:rPr>
        <w:t xml:space="preserve">а двигуні, </w:t>
      </w:r>
      <w:r>
        <w:t>J</w:t>
      </w:r>
      <w:r w:rsidRPr="00A234C1">
        <w:rPr>
          <w:lang w:val="ru-RU"/>
        </w:rPr>
        <w:t xml:space="preserve"> — приведений момент інерції, </w:t>
      </w:r>
      <w:r>
        <w:t>B</w:t>
      </w:r>
      <w:r w:rsidRPr="00A234C1">
        <w:rPr>
          <w:lang w:val="ru-RU"/>
        </w:rPr>
        <w:t xml:space="preserve"> — в’язке тертя, </w:t>
      </w:r>
      <w:r>
        <w:t>τd</w:t>
      </w:r>
      <w:r w:rsidRPr="00A234C1">
        <w:rPr>
          <w:lang w:val="ru-RU"/>
        </w:rPr>
        <w:t xml:space="preserve"> — збурювальний момент, </w:t>
      </w:r>
      <w:r>
        <w:t>Kt</w:t>
      </w:r>
      <w:r w:rsidRPr="00A234C1">
        <w:rPr>
          <w:lang w:val="ru-RU"/>
        </w:rPr>
        <w:t xml:space="preserve"> — моментний коефіцієнт, </w:t>
      </w:r>
      <w:r>
        <w:t>Ke</w:t>
      </w:r>
      <w:r w:rsidRPr="00A234C1">
        <w:rPr>
          <w:lang w:val="ru-RU"/>
        </w:rPr>
        <w:t xml:space="preserve"> — ЕРС-коефіцієнт, </w:t>
      </w:r>
      <w:r>
        <w:t>R</w:t>
      </w:r>
      <w:r w:rsidRPr="00A234C1">
        <w:rPr>
          <w:lang w:val="ru-RU"/>
        </w:rPr>
        <w:t xml:space="preserve">, </w:t>
      </w:r>
      <w:r>
        <w:t>L</w:t>
      </w:r>
      <w:r w:rsidRPr="00A234C1">
        <w:rPr>
          <w:lang w:val="ru-RU"/>
        </w:rPr>
        <w:t xml:space="preserve"> — параметри обмотки.</w:t>
      </w:r>
    </w:p>
    <w:p w:rsidR="00DA3734" w:rsidRDefault="00A234C1">
      <w:pPr>
        <w:keepNext/>
        <w:keepLines/>
        <w:spacing w:before="120" w:after="120"/>
        <w:ind w:firstLine="0"/>
        <w:jc w:val="center"/>
      </w:pPr>
      <w:r>
        <w:lastRenderedPageBreak/>
        <w:t>Електромеханічна модель (1 вісь):</w:t>
      </w:r>
    </w:p>
    <w:p w:rsidR="00DA3734" w:rsidRDefault="00A234C1"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:rsidR="00DA3734" w:rsidRDefault="00A234C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ω</m:t>
          </m:r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u</m:t>
          </m:r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 xml:space="preserve">Простір станів: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[ 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DA3734" w:rsidRDefault="00A234C1">
      <m:oMathPara>
        <m:oMath>
          <m:acc>
            <m:accPr>
              <m:chr m:val="˙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 xml:space="preserve"> 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J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J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L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L</m:t>
                </m:r>
              </m:e>
            </m:mr>
          </m:m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 xml:space="preserve"> 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mr>
          </m:m>
        </m:oMath>
      </m:oMathPara>
    </w:p>
    <w:p w:rsidR="00DA3734" w:rsidRPr="00A234C1" w:rsidRDefault="00A234C1">
      <w:pPr>
        <w:rPr>
          <w:lang w:val="uk-UA"/>
        </w:rPr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 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J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 xml:space="preserve">Вихід:  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θ</m:t>
          </m:r>
        </m:oMath>
      </m:oMathPara>
    </w:p>
    <w:p w:rsidR="00DA3734" w:rsidRDefault="00A234C1">
      <m:oMathPara>
        <m:oMath>
          <m:r>
            <w:rPr>
              <w:rFonts w:ascii="Cambria Math" w:hAnsi="Cambria Math"/>
            </w:rPr>
            <m:t xml:space="preserve">Зворотний зв’язок:  </m:t>
          </m:r>
          <m:acc>
            <m:accPr>
              <m:chr m:val="^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)·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 (</m:t>
          </m:r>
          <m:r>
            <w:rPr>
              <w:rFonts w:ascii="Cambria Math" w:hAnsi="Cambria Math"/>
            </w:rPr>
            <m:t>IMU</m:t>
          </m:r>
          <m:r>
            <w:rPr>
              <w:rFonts w:ascii="Cambria Math" w:hAnsi="Cambria Math"/>
            </w:rPr>
            <m:t>/енкодер, фільтрація та оцінювання)</m:t>
          </m:r>
        </m:oMath>
      </m:oMathPara>
    </w:p>
    <w:p w:rsidR="00DA3734" w:rsidRPr="00A234C1" w:rsidRDefault="00A234C1">
      <w:pPr>
        <w:jc w:val="both"/>
        <w:rPr>
          <w:lang w:val="ru-RU"/>
        </w:rPr>
      </w:pPr>
      <w:r>
        <w:t>Типова с</w:t>
      </w:r>
      <w:r>
        <w:t xml:space="preserve">истема керування для стабілізації: ε(t)=θref(t)−θ̂(t), регулятор u(t)=C(s)·ε(t), де C(s) — PI/PID з обмеженнями за струмом/напругою та антиwindup. </w:t>
      </w:r>
      <w:r w:rsidRPr="00A234C1">
        <w:rPr>
          <w:lang w:val="ru-RU"/>
        </w:rPr>
        <w:t>Силова частина (</w:t>
      </w:r>
      <w:r>
        <w:t>ESC</w:t>
      </w:r>
      <w:r w:rsidRPr="00A234C1">
        <w:rPr>
          <w:lang w:val="ru-RU"/>
        </w:rPr>
        <w:t xml:space="preserve">) реалізує перетворення </w:t>
      </w:r>
      <w:r>
        <w:t>u</w:t>
      </w:r>
      <w:r w:rsidRPr="00A234C1">
        <w:rPr>
          <w:lang w:val="ru-RU"/>
        </w:rPr>
        <w:t>(</w:t>
      </w:r>
      <w:r>
        <w:t>t</w:t>
      </w:r>
      <w:r w:rsidRPr="00A234C1">
        <w:rPr>
          <w:lang w:val="ru-RU"/>
        </w:rPr>
        <w:t>)→</w:t>
      </w:r>
      <w:r>
        <w:t>i</w:t>
      </w:r>
      <w:r w:rsidRPr="00A234C1">
        <w:rPr>
          <w:lang w:val="ru-RU"/>
        </w:rPr>
        <w:t>(</w:t>
      </w:r>
      <w:r>
        <w:t>t</w:t>
      </w:r>
      <w:r w:rsidRPr="00A234C1">
        <w:rPr>
          <w:lang w:val="ru-RU"/>
        </w:rPr>
        <w:t>) і комутацію, що в моделі представляється узагальненим пе</w:t>
      </w:r>
      <w:r w:rsidRPr="00A234C1">
        <w:rPr>
          <w:lang w:val="ru-RU"/>
        </w:rPr>
        <w:t xml:space="preserve">редавальним ланцюгом </w:t>
      </w:r>
      <w:r>
        <w:t>P</w:t>
      </w:r>
      <w:r w:rsidRPr="00A234C1">
        <w:rPr>
          <w:lang w:val="ru-RU"/>
        </w:rPr>
        <w:t>(</w:t>
      </w:r>
      <w:r>
        <w:t>s</w:t>
      </w:r>
      <w:r w:rsidRPr="00A234C1">
        <w:rPr>
          <w:lang w:val="ru-RU"/>
        </w:rPr>
        <w:t>).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b/>
          <w:lang w:val="ru-RU"/>
        </w:rPr>
        <w:t>4. СТРУКТУРНА СХЕМА МС</w:t>
      </w:r>
    </w:p>
    <w:p w:rsidR="00DA3734" w:rsidRPr="00A234C1" w:rsidRDefault="00A234C1">
      <w:pPr>
        <w:jc w:val="both"/>
        <w:rPr>
          <w:lang w:val="ru-RU"/>
        </w:rPr>
      </w:pPr>
      <w:r w:rsidRPr="00A234C1">
        <w:rPr>
          <w:lang w:val="ru-RU"/>
        </w:rPr>
        <w:t xml:space="preserve">На рис. 1 наведено структурну схему (контур керування однієї осі). Для двоступеневого підвісу схема дублюється для другої осі з аналогічною логікою та власними параметрами </w:t>
      </w:r>
      <w:r>
        <w:t>J</w:t>
      </w:r>
      <w:r w:rsidRPr="00A234C1">
        <w:rPr>
          <w:lang w:val="ru-RU"/>
        </w:rPr>
        <w:t xml:space="preserve">, </w:t>
      </w:r>
      <w:r>
        <w:t>B</w:t>
      </w:r>
      <w:r w:rsidRPr="00A234C1">
        <w:rPr>
          <w:lang w:val="ru-RU"/>
        </w:rPr>
        <w:t xml:space="preserve">, </w:t>
      </w:r>
      <w:r>
        <w:t>Kt</w:t>
      </w:r>
      <w:r w:rsidRPr="00A234C1">
        <w:rPr>
          <w:lang w:val="ru-RU"/>
        </w:rPr>
        <w:t xml:space="preserve">, </w:t>
      </w:r>
      <w:r>
        <w:t>Ke</w:t>
      </w:r>
      <w:r w:rsidRPr="00A234C1">
        <w:rPr>
          <w:lang w:val="ru-RU"/>
        </w:rPr>
        <w:t>.</w:t>
      </w:r>
    </w:p>
    <w:p w:rsidR="00DA3734" w:rsidRPr="00A234C1" w:rsidRDefault="00A234C1">
      <w:pPr>
        <w:ind w:firstLine="0"/>
        <w:jc w:val="center"/>
        <w:rPr>
          <w:lang w:val="ru-RU"/>
        </w:rPr>
      </w:pPr>
      <w:r w:rsidRPr="00A234C1">
        <w:rPr>
          <w:lang w:val="ru-RU"/>
        </w:rPr>
        <w:t>Рис. 1. Структурна с</w:t>
      </w:r>
      <w:r w:rsidRPr="00A234C1">
        <w:rPr>
          <w:lang w:val="ru-RU"/>
        </w:rPr>
        <w:t>хема мехатронної системи підвісу БПЛА (одна вісь).</w:t>
      </w:r>
    </w:p>
    <w:p w:rsidR="00DA3734" w:rsidRPr="00A234C1" w:rsidRDefault="00DA3734">
      <w:pPr>
        <w:ind w:firstLine="0"/>
        <w:rPr>
          <w:lang w:val="ru-RU"/>
        </w:rPr>
      </w:pPr>
    </w:p>
    <w:p w:rsidR="00DA3734" w:rsidRPr="00A234C1" w:rsidRDefault="00A234C1">
      <w:pPr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>
            <wp:extent cx="6334125" cy="2162175"/>
            <wp:effectExtent l="0" t="0" r="9525" b="9525"/>
            <wp:docPr id="2" name="Рисунок 1" descr="C:\Users\1\AppData\Local\Microsoft\Windows\INetCache\Content.Word\Структурна схема МС підвіс БПЛ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AppData\Local\Microsoft\Windows\INetCache\Content.Word\Структурна схема МС підвіс БПЛА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734" w:rsidRDefault="00A234C1">
      <w:pPr>
        <w:ind w:firstLine="0"/>
        <w:jc w:val="center"/>
      </w:pPr>
      <w:r>
        <w:rPr>
          <w:b/>
        </w:rPr>
        <w:t>5. ВИСНОВОК</w:t>
      </w:r>
    </w:p>
    <w:p w:rsidR="00DA3734" w:rsidRDefault="00A234C1">
      <w:pPr>
        <w:jc w:val="both"/>
      </w:pPr>
      <w:r>
        <w:t>Двоступеневий стабілізований підвіс БПЛА є керуючою мехатронною системою позиціонування, що інтегрує механіку, електропривід, сенсори та цифрове керування у замкнених контурах. За рівнем інт</w:t>
      </w:r>
      <w:r>
        <w:t>еграції він відноситься до МС третього покоління, оскільки ключові функції реалізуються мікроконтролером із сенсорним зворотним зв’язком і алгоритмічним формуванням керуючих дій.</w:t>
      </w:r>
    </w:p>
    <w:sectPr w:rsidR="00DA373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34C1"/>
    <w:rsid w:val="00AA1D8D"/>
    <w:rsid w:val="00B47730"/>
    <w:rsid w:val="00CB0664"/>
    <w:rsid w:val="00DA3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5246D1"/>
  <w14:defaultImageDpi w14:val="300"/>
  <w15:docId w15:val="{029320B3-5B32-4F4C-BCE1-19E02519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58C64A-0DE3-444E-AB99-DF537EAB0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2339</Words>
  <Characters>1334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2026-02-01T13:03:00Z</dcterms:created>
  <dcterms:modified xsi:type="dcterms:W3CDTF">2026-02-01T13:03:00Z</dcterms:modified>
  <cp:category/>
</cp:coreProperties>
</file>