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Year End Self Assessment</w:t>
      </w:r>
    </w:p>
    <w:p>
      <w:pPr>
        <w:pStyle w:val="Subtitle"/>
      </w:pPr>
      <w:r>
        <w:t>Senior Manager Leadership and Delivery</w:t>
      </w:r>
    </w:p>
    <w:p>
      <w:pPr>
        <w:pStyle w:val="Heading2"/>
      </w:pPr>
      <w:r>
        <w:t>Overall assessment</w:t>
      </w:r>
    </w:p>
    <w:p>
      <w:r>
        <w:t>In 2026, I led the delivery of major metadata harvesting priorities while continuing to manage DQ Automation responsibilities for another department. My contribution extended beyond project oversight: I shaped the delivery approach, aligned business and technical partners, strengthened validation practices, and helped a largely new team develop the knowledge and confidence needed to execute complex work. Despite joining the EDC migration midway through delivery, losing key resources, and navigating knowledge gaps, I brought the team together and kept our major priorities moving toward delivery.</w:t>
      </w:r>
    </w:p>
    <w:p>
      <w:pPr>
        <w:pStyle w:val="Heading2"/>
      </w:pPr>
      <w:r>
        <w:t>EDC migration and metadata harvesting</w:t>
      </w:r>
    </w:p>
    <w:p>
      <w:r>
        <w:t>I assumed leadership of the EDC migration at a challenging stage, with requirements and delivery decisions already established before our team’s involvement. I led requirements discussions, technical and architectural reviews, working session planning, and validation review and sign-off activities. I also guided the development of new validation and quality methodologies to give the team a more structured approach to assessing migrated data.</w:t>
      </w:r>
    </w:p>
    <w:p>
      <w:r>
        <w:t>A significant part of my contribution was the groundwork needed to make delivery possible. I helped the team understand the technology landscape, clarify inherited requirements, and connect individual tasks to the overall objective. Through mentoring, practical guidance, and ongoing support, I encouraged team members to take ownership and work through unfamiliar technical challenges. In parallel, I managed resource constraints and helped reduce friction across partners by listening to concerns, clarifying expectations, and keeping discussions focused on resolution. This leadership helped the team advance one of the organization’s most complex data migration efforts while balancing other enterprise commitments.</w:t>
      </w:r>
    </w:p>
    <w:p>
      <w:pPr>
        <w:pStyle w:val="Heading2"/>
      </w:pPr>
      <w:r>
        <w:t>Audit support and DQ transition to the business</w:t>
      </w:r>
    </w:p>
    <w:p>
      <w:r>
        <w:t>During the first half of the year, I led the team’s support for audit documentation and responses related to DQ Automation. At the same time, I coordinated the transition to the business of DQ controls previously developed by my team. This required careful planning, partner engagement, and execution support to help the business take on those responsibilities. I balanced the audit and transition work with EDC migration and Unity Catalog priorities, maintaining focus across competing demands.</w:t>
      </w:r>
    </w:p>
    <w:p>
      <w:r>
        <w:br w:type="page"/>
      </w:r>
    </w:p>
    <w:p>
      <w:pPr>
        <w:pStyle w:val="Heading2"/>
      </w:pPr>
      <w:r>
        <w:t>Unity Catalog production delivery</w:t>
      </w:r>
    </w:p>
    <w:p>
      <w:r>
        <w:t>I led the team in bringing Unity Catalog into production in Data Compass. I worked with enterprise partners to complete the inventory of assets in scope, helped define technical requirements, and partnered with project managers on delivery plans. I also addressed knowledge gaps within the team and supported the resolution of issues encountered during implementation. My role connected asset discovery, technical planning, and partner coordination to support production delivery.</w:t>
      </w:r>
    </w:p>
    <w:p>
      <w:pPr>
        <w:pStyle w:val="Heading2"/>
      </w:pPr>
      <w:r>
        <w:t>Partnership with full stack architects</w:t>
      </w:r>
    </w:p>
    <w:p>
      <w:r>
        <w:t>My partnership with full stack architects was a significant part of progressing both EDC and Unity Catalog. I worked closely with them to connect project objectives and validation needs with architectural and implementation requirements, clarify technical questions, and help resolve issues affecting delivery. I brought stakeholder concerns and the team’s knowledge gaps into these discussions so that architectural guidance could translate into practical next steps.</w:t>
      </w:r>
    </w:p>
    <w:p>
      <w:r>
        <w:t>This work required sustained preparation and follow-through behind the scenes: bringing the right partners into working sessions, clarifying decisions, and helping the team understand how to apply technical guidance. By maintaining this connection between the harvesting team, architects, and enterprise partners, I helped turn complex discussions into actionable work and supported the team through implementation challenges.</w:t>
      </w:r>
    </w:p>
    <w:p>
      <w:pPr>
        <w:pStyle w:val="Heading2"/>
      </w:pPr>
      <w:r>
        <w:t>Lineage requirements and vendor evaluation</w:t>
      </w:r>
    </w:p>
    <w:p>
      <w:r>
        <w:t>I led the development of lineage requirements and a vendor scoring methodology, and helped prepare and facilitate vendor demonstrations, reviews, and scoring. This established a consistent basis for assessing vendor capabilities against our needs. Although the lineage initiative later changed direction, the requirements and evaluation approach provided a useful foundation for comparing options and supporting informed decisions.</w:t>
      </w:r>
    </w:p>
    <w:p>
      <w:pPr>
        <w:pStyle w:val="Heading2"/>
      </w:pPr>
      <w:r>
        <w:t>Leadership impact and future focus</w:t>
      </w:r>
    </w:p>
    <w:p>
      <w:r>
        <w:t>Across these initiatives, I provided the direction and coordination needed to turn complex, interdependent work into deliverable priorities. Much of that contribution occurred behind the scenes through mentoring, requirement clarification, partner alignment, and issue resolution. I helped the team maintain momentum through resource losses and unfamiliar technology while continuing to support responsibilities across departments.</w:t>
      </w:r>
    </w:p>
    <w:p>
      <w:r>
        <w:t>The year reinforced the importance of involving delivery teams earlier in requirements and architectural decisions, strengthening knowledge transfer, and planning capacity across concurrent initiatives. Going forward, I will build on these lessons by developing broader technical capability within the team, encouraging shared ownership of critical knowledge, and establishing clearer dependencies and delivery expectations early in the project lifecycle.</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2026 YEAR END SELF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Year End Self Assessment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