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BigID Deep Dive – DRD Requirements &amp; Questions</w:t>
      </w:r>
    </w:p>
    <w:p>
      <w:pPr/>
      <w:r>
        <w:t xml:space="preserve">Sep 21, 2026</w:t>
      </w:r>
      <w:r>
        <w:t xml:space="preserve"> · </w:t>
      </w:r>
      <w:r>
        <w:t xml:space="preserve">@Someone</w:t>
      </w:r>
    </w:p>
    <w:p>
      <w:pPr>
        <w:pStyle w:val="Heading2"/>
      </w:pPr>
      <w:r>
        <w:t xml:space="preserve">Purpose &amp; scope</w:t>
      </w:r>
    </w:p>
    <w:p>
      <w:pPr/>
      <w:r>
        <w:t xml:space="preserve">This session validates whether BigID can operationalize our business-activity-based retention rules against structured data, end to end: classification, retention trigger tracking, record-level correlation, and defensible disposition. Scope for now is structured data only (Snowflake, Oracle, DB2, and related sources); unstructured data is a later phase. The goal is to leave the deep dive knowing what BigID does natively, what we must build or feed it, how it scales, and a realistic implementation timeline.</w:t>
      </w:r>
    </w:p>
    <w:p>
      <w:pPr>
        <w:pStyle w:val="Heading2"/>
      </w:pPr>
      <w:r>
        <w:t xml:space="preserve">Retention schedule reference</w:t>
      </w:r>
    </w:p>
    <w:p>
      <w:pPr/>
      <w:r>
        <w:t xml:space="preserve">The most common business activity schedules driving the requirements below. All apply to structured data.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Business activity</w:t>
            </w:r>
          </w:p>
        </w:tc>
        <w:tc>
          <w:tcPr>
            <w:tcW w:w="2340" w:type="dxa"/>
            <w:shd w:val="clear" w:color="auto" w:fill="F2F2F2"/>
          </w:tcPr>
          <w:p>
            <w:pPr/>
            <w:r>
              <w:t xml:space="preserve">Level</w:t>
            </w:r>
          </w:p>
        </w:tc>
        <w:tc>
          <w:tcPr>
            <w:tcW w:w="2340" w:type="dxa"/>
            <w:shd w:val="clear" w:color="auto" w:fill="F2F2F2"/>
          </w:tcPr>
          <w:p>
            <w:pPr/>
            <w:r>
              <w:t xml:space="preserve">Retention rule</w:t>
            </w:r>
          </w:p>
        </w:tc>
        <w:tc>
          <w:tcPr>
            <w:tcW w:w="2340" w:type="dxa"/>
            <w:shd w:val="clear" w:color="auto" w:fill="F2F2F2"/>
          </w:tcPr>
          <w:p>
            <w:pPr/>
            <w:r>
              <w:t xml:space="preserve">Trigger type</w:t>
            </w:r>
          </w:p>
        </w:tc>
      </w:tr>
      <w:tr>
        <w:tc>
          <w:tcPr>
            <w:tcW w:w="2340" w:type="dxa"/>
          </w:tcPr>
          <w:p>
            <w:pPr/>
            <w:r>
              <w:t xml:space="preserve">Account Maintenance</w:t>
            </w:r>
          </w:p>
        </w:tc>
        <w:tc>
          <w:tcPr>
            <w:tcW w:w="2340" w:type="dxa"/>
          </w:tcPr>
          <w:p>
            <w:pPr/>
            <w:r>
              <w:t xml:space="preserve">—</w:t>
            </w:r>
          </w:p>
        </w:tc>
        <w:tc>
          <w:tcPr>
            <w:tcW w:w="2340" w:type="dxa"/>
          </w:tcPr>
          <w:p>
            <w:pPr/>
            <w:r>
              <w:t xml:space="preserve">10 years after End of Relationship</w:t>
            </w:r>
          </w:p>
        </w:tc>
        <w:tc>
          <w:tcPr>
            <w:tcW w:w="2340" w:type="dxa"/>
          </w:tcPr>
          <w:p>
            <w:pPr/>
            <w:r>
              <w:t xml:space="preserve">Event-based (EOR)</w:t>
            </w:r>
          </w:p>
        </w:tc>
      </w:tr>
      <w:tr>
        <w:tc>
          <w:tcPr>
            <w:tcW w:w="2340" w:type="dxa"/>
          </w:tcPr>
          <w:p>
            <w:pPr/>
            <w:r>
              <w:t xml:space="preserve">Account Opening &amp; Approval</w:t>
            </w:r>
          </w:p>
        </w:tc>
        <w:tc>
          <w:tcPr>
            <w:tcW w:w="2340" w:type="dxa"/>
          </w:tcPr>
          <w:p>
            <w:pPr/>
            <w:r>
              <w:t xml:space="preserve">—</w:t>
            </w:r>
          </w:p>
        </w:tc>
        <w:tc>
          <w:tcPr>
            <w:tcW w:w="2340" w:type="dxa"/>
          </w:tcPr>
          <w:p>
            <w:pPr/>
            <w:r>
              <w:t xml:space="preserve">10 years after End of Relationship</w:t>
            </w:r>
          </w:p>
        </w:tc>
        <w:tc>
          <w:tcPr>
            <w:tcW w:w="2340" w:type="dxa"/>
          </w:tcPr>
          <w:p>
            <w:pPr/>
            <w:r>
              <w:t xml:space="preserve">Event-based (EOR)</w:t>
            </w:r>
          </w:p>
        </w:tc>
      </w:tr>
      <w:tr>
        <w:tc>
          <w:tcPr>
            <w:tcW w:w="2340" w:type="dxa"/>
          </w:tcPr>
          <w:p>
            <w:pPr/>
            <w:r>
              <w:t xml:space="preserve">Client Communications</w:t>
            </w:r>
          </w:p>
        </w:tc>
        <w:tc>
          <w:tcPr>
            <w:tcW w:w="2340" w:type="dxa"/>
          </w:tcPr>
          <w:p>
            <w:pPr/>
            <w:r>
              <w:t xml:space="preserve">III</w:t>
            </w:r>
          </w:p>
        </w:tc>
        <w:tc>
          <w:tcPr>
            <w:tcW w:w="2340" w:type="dxa"/>
          </w:tcPr>
          <w:p>
            <w:pPr/>
            <w:r>
              <w:t xml:space="preserve">10 years after End of Relationship</w:t>
            </w:r>
          </w:p>
        </w:tc>
        <w:tc>
          <w:tcPr>
            <w:tcW w:w="2340" w:type="dxa"/>
          </w:tcPr>
          <w:p>
            <w:pPr/>
            <w:r>
              <w:t xml:space="preserve">Event-based (EOR)</w:t>
            </w:r>
          </w:p>
        </w:tc>
      </w:tr>
      <w:tr>
        <w:tc>
          <w:tcPr>
            <w:tcW w:w="2340" w:type="dxa"/>
          </w:tcPr>
          <w:p>
            <w:pPr/>
            <w:r>
              <w:t xml:space="preserve">General Public Communications</w:t>
            </w:r>
          </w:p>
        </w:tc>
        <w:tc>
          <w:tcPr>
            <w:tcW w:w="2340" w:type="dxa"/>
          </w:tcPr>
          <w:p>
            <w:pPr/>
            <w:r>
              <w:t xml:space="preserve">II</w:t>
            </w:r>
          </w:p>
        </w:tc>
        <w:tc>
          <w:tcPr>
            <w:tcW w:w="2340" w:type="dxa"/>
          </w:tcPr>
          <w:p>
            <w:pPr/>
            <w:r>
              <w:t xml:space="preserve">5 years after creation</w:t>
            </w:r>
          </w:p>
        </w:tc>
        <w:tc>
          <w:tcPr>
            <w:tcW w:w="2340" w:type="dxa"/>
          </w:tcPr>
          <w:p>
            <w:pPr/>
            <w:r>
              <w:t xml:space="preserve">Creation date</w:t>
            </w:r>
          </w:p>
        </w:tc>
      </w:tr>
      <w:tr>
        <w:tc>
          <w:tcPr>
            <w:tcW w:w="2340" w:type="dxa"/>
          </w:tcPr>
          <w:p>
            <w:pPr/>
            <w:r>
              <w:t xml:space="preserve">Internal Communications</w:t>
            </w:r>
          </w:p>
        </w:tc>
        <w:tc>
          <w:tcPr>
            <w:tcW w:w="2340" w:type="dxa"/>
          </w:tcPr>
          <w:p>
            <w:pPr/>
            <w:r>
              <w:t xml:space="preserve">—</w:t>
            </w:r>
          </w:p>
        </w:tc>
        <w:tc>
          <w:tcPr>
            <w:tcW w:w="2340" w:type="dxa"/>
          </w:tcPr>
          <w:p>
            <w:pPr/>
            <w:r>
              <w:t xml:space="preserve">5 years after creation</w:t>
            </w:r>
          </w:p>
        </w:tc>
        <w:tc>
          <w:tcPr>
            <w:tcW w:w="2340" w:type="dxa"/>
          </w:tcPr>
          <w:p>
            <w:pPr/>
            <w:r>
              <w:t xml:space="preserve">Creation date</w:t>
            </w:r>
          </w:p>
        </w:tc>
      </w:tr>
      <w:tr>
        <w:tc>
          <w:tcPr>
            <w:tcW w:w="2340" w:type="dxa"/>
          </w:tcPr>
          <w:p>
            <w:pPr/>
            <w:r>
              <w:t xml:space="preserve">Internal Operational Reports</w:t>
            </w:r>
          </w:p>
        </w:tc>
        <w:tc>
          <w:tcPr>
            <w:tcW w:w="2340" w:type="dxa"/>
          </w:tcPr>
          <w:p>
            <w:pPr/>
            <w:r>
              <w:t xml:space="preserve">II</w:t>
            </w:r>
          </w:p>
        </w:tc>
        <w:tc>
          <w:tcPr>
            <w:tcW w:w="2340" w:type="dxa"/>
          </w:tcPr>
          <w:p>
            <w:pPr/>
            <w:r>
              <w:t xml:space="preserve">10 years after creation</w:t>
            </w:r>
          </w:p>
        </w:tc>
        <w:tc>
          <w:tcPr>
            <w:tcW w:w="2340" w:type="dxa"/>
          </w:tcPr>
          <w:p>
            <w:pPr/>
            <w:r>
              <w:t xml:space="preserve">Creation date</w:t>
            </w:r>
          </w:p>
        </w:tc>
      </w:tr>
    </w:tbl>
    <w:p>
      <w:pPr>
        <w:pStyle w:val="Heading2"/>
      </w:pPr>
      <w:r>
        <w:t xml:space="preserve">Requirement 1 — Business activity classification</w:t>
      </w:r>
    </w:p>
    <w:p>
      <w:pPr/>
      <w:r>
        <w:t xml:space="preserve">BigID must classify structured data against our retention schedule's business activity categories, not just data types.</w:t>
      </w:r>
    </w:p>
    <w:p>
      <w:pPr>
        <w:pStyle w:val="ListParagraph"/>
        <w:numPr>
          <w:ilvl w:val="0"/>
          <w:numId w:val="2"/>
        </w:numPr>
      </w:pPr>
      <w:r>
        <w:t xml:space="preserve">Classify databases, tables, columns — and ideally rows — into business activities (Account Maintenance, Account Opening &amp; Approval, Client Communications, Internal Operational Reports, etc.).</w:t>
      </w:r>
    </w:p>
    <w:p>
      <w:pPr>
        <w:pStyle w:val="ListParagraph"/>
        <w:numPr>
          <w:ilvl w:val="0"/>
          <w:numId w:val="2"/>
        </w:numPr>
      </w:pPr>
      <w:r>
        <w:t xml:space="preserve">Support one dataset mapping to multiple business activities, with conflict resolution (longest retention wins) when a record falls under more than one schedule.</w:t>
      </w:r>
    </w:p>
    <w:p>
      <w:pPr>
        <w:pStyle w:val="ListParagraph"/>
        <w:numPr>
          <w:ilvl w:val="0"/>
          <w:numId w:val="2"/>
        </w:numPr>
      </w:pPr>
      <w:r>
        <w:t xml:space="preserve">Import or synchronize our retention schedule (activity → level → retention rule) as policy objects in BigID rather than rebuilding it manually, and propagate schedule updates to already-classified data.</w:t>
      </w:r>
    </w:p>
    <w:p>
      <w:pPr>
        <w:pStyle w:val="Heading2"/>
      </w:pPr>
      <w:r>
        <w:t xml:space="preserve">Requirement 2 — Retention triggers</w:t>
      </w:r>
    </w:p>
    <w:p>
      <w:pPr/>
      <w:r>
        <w:t xml:space="preserve">This is the crux of the deep dive: our rules run on two different clocks.</w:t>
      </w:r>
    </w:p>
    <w:p>
      <w:pPr>
        <w:pStyle w:val="ListParagraph"/>
        <w:numPr>
          <w:ilvl w:val="0"/>
          <w:numId w:val="3"/>
        </w:numPr>
      </w:pPr>
      <w:r>
        <w:rPr>
          <w:b/>
        </w:rPr>
        <w:t xml:space="preserve">Event-based retention (End of Relationship).</w:t>
      </w:r>
      <w:r>
        <w:t xml:space="preserve"> "10 years after EOR" requires BigID to know when each relationship ended. Requirement: ingest an EOR event/date from an authoritative source (client master, CRM, account closure feed) and correlate it to records across systems.</w:t>
      </w:r>
    </w:p>
    <w:p>
      <w:pPr>
        <w:pStyle w:val="ListParagraph"/>
        <w:numPr>
          <w:ilvl w:val="0"/>
          <w:numId w:val="3"/>
        </w:numPr>
      </w:pPr>
      <w:r>
        <w:rPr>
          <w:b/>
        </w:rPr>
        <w:t xml:space="preserve">Creation-based retention.</w:t>
      </w:r>
      <w:r>
        <w:t xml:space="preserve"> "5/10 years after creation" requires identifying the correct creation date per table — system timestamp vs. business date — with the ability for us to override which column is authoritative.</w:t>
      </w:r>
    </w:p>
    <w:p>
      <w:pPr>
        <w:pStyle w:val="ListParagraph"/>
        <w:numPr>
          <w:ilvl w:val="0"/>
          <w:numId w:val="3"/>
        </w:numPr>
      </w:pPr>
      <w:r>
        <w:rPr>
          <w:b/>
        </w:rPr>
        <w:t xml:space="preserve">Open relationships.</w:t>
      </w:r>
      <w:r>
        <w:t xml:space="preserve"> Records whose trigger event hasn't occurred yet (relationship still active) must be recognized as "clock not started" and excluded from eligibility.</w:t>
      </w:r>
    </w:p>
    <w:p>
      <w:pPr>
        <w:pStyle w:val="Heading2"/>
      </w:pPr>
      <w:r>
        <w:t xml:space="preserve">Requirement 3 — Record-level correlation</w:t>
      </w:r>
    </w:p>
    <w:p>
      <w:pPr/>
      <w:r>
        <w:t xml:space="preserve">Retention must be evaluated at the record level, not just the table level.</w:t>
      </w:r>
    </w:p>
    <w:p>
      <w:pPr>
        <w:pStyle w:val="ListParagraph"/>
        <w:numPr>
          <w:ilvl w:val="0"/>
          <w:numId w:val="4"/>
        </w:numPr>
      </w:pPr>
      <w:r>
        <w:t xml:space="preserve">Correlate rows to a client/account identifier across heterogeneous sources (Snowflake, Oracle, DB2, etc.) so each record's retention clock ties to the right relationship.</w:t>
      </w:r>
    </w:p>
    <w:p>
      <w:pPr>
        <w:pStyle w:val="ListParagraph"/>
        <w:numPr>
          <w:ilvl w:val="0"/>
          <w:numId w:val="4"/>
        </w:numPr>
      </w:pPr>
      <w:r>
        <w:t xml:space="preserve">Handle shared tables where different rows belong to different clients with different EOR dates.</w:t>
      </w:r>
    </w:p>
    <w:p>
      <w:pPr>
        <w:pStyle w:val="ListParagraph"/>
        <w:numPr>
          <w:ilvl w:val="0"/>
          <w:numId w:val="4"/>
        </w:numPr>
      </w:pPr>
      <w:r>
        <w:t xml:space="preserve">Maintain correlation as source schemas change (new columns, renamed keys, migrated tables).</w:t>
      </w:r>
    </w:p>
    <w:p>
      <w:pPr>
        <w:pStyle w:val="Heading2"/>
      </w:pPr>
      <w:r>
        <w:t xml:space="preserve">Requirement 4 — Disposition &amp; workflow</w:t>
      </w:r>
    </w:p>
    <w:p>
      <w:pPr/>
      <w:r>
        <w:t xml:space="preserve">Disposition must be controlled, approved, and defensible.</w:t>
      </w:r>
    </w:p>
    <w:p>
      <w:pPr>
        <w:pStyle w:val="ListParagraph"/>
        <w:numPr>
          <w:ilvl w:val="0"/>
          <w:numId w:val="5"/>
        </w:numPr>
      </w:pPr>
      <w:r>
        <w:t xml:space="preserve">Configurable disposition actions: flag for review, archive, anonymize, hard delete.</w:t>
      </w:r>
    </w:p>
    <w:p>
      <w:pPr>
        <w:pStyle w:val="ListParagraph"/>
        <w:numPr>
          <w:ilvl w:val="0"/>
          <w:numId w:val="5"/>
        </w:numPr>
      </w:pPr>
      <w:r>
        <w:t xml:space="preserve">Approval workflow requiring data owner and records management sign-off before any destruction.</w:t>
      </w:r>
    </w:p>
    <w:p>
      <w:pPr>
        <w:pStyle w:val="ListParagraph"/>
        <w:numPr>
          <w:ilvl w:val="0"/>
          <w:numId w:val="5"/>
        </w:numPr>
      </w:pPr>
      <w:r>
        <w:t xml:space="preserve">Legal hold integration: holds override retention rules automatically; releasing a hold re-queues eligible records.</w:t>
      </w:r>
    </w:p>
    <w:p>
      <w:pPr>
        <w:pStyle w:val="ListParagraph"/>
        <w:numPr>
          <w:ilvl w:val="0"/>
          <w:numId w:val="5"/>
        </w:numPr>
      </w:pPr>
      <w:r>
        <w:t xml:space="preserve">Defensible disposal evidence: certificates and logs of what was destroyed, when, under which rule, and approved by whom.</w:t>
      </w:r>
    </w:p>
    <w:p>
      <w:pPr>
        <w:pStyle w:val="Heading2"/>
      </w:pPr>
      <w:r>
        <w:t xml:space="preserve">Requirement 5 — Accuracy &amp; error avoidance</w:t>
      </w:r>
    </w:p>
    <w:p>
      <w:pPr/>
      <w:r>
        <w:t xml:space="preserve">Nothing gets destroyed on a wrong classification or a bad date.</w:t>
      </w:r>
    </w:p>
    <w:p>
      <w:pPr>
        <w:pStyle w:val="ListParagraph"/>
        <w:numPr>
          <w:ilvl w:val="0"/>
          <w:numId w:val="6"/>
        </w:numPr>
      </w:pPr>
      <w:r>
        <w:t xml:space="preserve">Dry-run / simulation mode showing what would be disposed before anything executes.</w:t>
      </w:r>
    </w:p>
    <w:p>
      <w:pPr>
        <w:pStyle w:val="ListParagraph"/>
        <w:numPr>
          <w:ilvl w:val="0"/>
          <w:numId w:val="6"/>
        </w:numPr>
      </w:pPr>
      <w:r>
        <w:t xml:space="preserve">Classification confidence scoring with a review queue for low-confidence matches.</w:t>
      </w:r>
    </w:p>
    <w:p>
      <w:pPr>
        <w:pStyle w:val="ListParagraph"/>
        <w:numPr>
          <w:ilvl w:val="0"/>
          <w:numId w:val="6"/>
        </w:numPr>
      </w:pPr>
      <w:r>
        <w:t xml:space="preserve">Reconciliation reporting: records eligible vs. actioned vs. exceptions.</w:t>
      </w:r>
    </w:p>
    <w:p>
      <w:pPr>
        <w:pStyle w:val="ListParagraph"/>
        <w:numPr>
          <w:ilvl w:val="0"/>
          <w:numId w:val="6"/>
        </w:numPr>
      </w:pPr>
      <w:r>
        <w:t xml:space="preserve">Guardrails against cascading deletes — referential integrity across joined tables must be respected.</w:t>
      </w:r>
    </w:p>
    <w:p>
      <w:pPr>
        <w:pStyle w:val="Heading2"/>
      </w:pPr>
      <w:r>
        <w:t xml:space="preserve">Requirement 6 — Scale &amp; operations</w:t>
      </w:r>
    </w:p>
    <w:p>
      <w:pPr>
        <w:pStyle w:val="ListParagraph"/>
        <w:numPr>
          <w:ilvl w:val="0"/>
          <w:numId w:val="7"/>
        </w:numPr>
      </w:pPr>
      <w:r>
        <w:t xml:space="preserve">Support our full source footprint and volumes — enumerate systems and approximate row counts before the session so BigID can speak to them concretely.</w:t>
      </w:r>
    </w:p>
    <w:p>
      <w:pPr>
        <w:pStyle w:val="ListParagraph"/>
        <w:numPr>
          <w:ilvl w:val="0"/>
          <w:numId w:val="7"/>
        </w:numPr>
      </w:pPr>
      <w:r>
        <w:t xml:space="preserve">Incremental scanning rather than full rescans of large warehouses each cycle.</w:t>
      </w:r>
    </w:p>
    <w:p>
      <w:pPr>
        <w:pStyle w:val="ListParagraph"/>
        <w:numPr>
          <w:ilvl w:val="0"/>
          <w:numId w:val="7"/>
        </w:numPr>
      </w:pPr>
      <w:r>
        <w:t xml:space="preserve">Scheduling, throttling, and impact controls to protect production databases.</w:t>
      </w:r>
    </w:p>
    <w:p>
      <w:pPr>
        <w:pStyle w:val="ListParagraph"/>
        <w:numPr>
          <w:ilvl w:val="0"/>
          <w:numId w:val="7"/>
        </w:numPr>
      </w:pPr>
      <w:r>
        <w:t xml:space="preserve">Role-based access so DRD, data owners, and legal each see and approve only their part.</w:t>
      </w:r>
    </w:p>
    <w:p>
      <w:pPr>
        <w:pStyle w:val="Heading2"/>
      </w:pPr>
      <w:r>
        <w:t xml:space="preserve">Requirement 7 — Reporting &amp; audit</w:t>
      </w:r>
    </w:p>
    <w:p>
      <w:pPr>
        <w:pStyle w:val="ListParagraph"/>
        <w:numPr>
          <w:ilvl w:val="0"/>
          <w:numId w:val="8"/>
        </w:numPr>
      </w:pPr>
      <w:r>
        <w:t xml:space="preserve">Dashboard of retention posture by business activity, system, and line of business: what's in retention, what's eligible, what's overdue.</w:t>
      </w:r>
    </w:p>
    <w:p>
      <w:pPr>
        <w:pStyle w:val="ListParagraph"/>
        <w:numPr>
          <w:ilvl w:val="0"/>
          <w:numId w:val="8"/>
        </w:numPr>
      </w:pPr>
      <w:r>
        <w:t xml:space="preserve">Exportable audit trail suitable for regulators and internal audit.</w:t>
      </w:r>
    </w:p>
    <w:p>
      <w:pPr>
        <w:pStyle w:val="Heading2"/>
      </w:pPr>
      <w:r>
        <w:t xml:space="preserve">Questions for BigID</w:t>
      </w:r>
    </w:p>
    <w:p>
      <w:pPr/>
      <w:r>
        <w:rPr>
          <w:b/>
        </w:rPr>
        <w:t xml:space="preserve">Capabilities / fit</w:t>
      </w:r>
    </w:p>
    <w:p>
      <w:pPr>
        <w:pStyle w:val="ListParagraph"/>
        <w:numPr>
          <w:ilvl w:val="0"/>
          <w:numId w:val="9"/>
        </w:numPr>
      </w:pPr>
      <w:r>
        <w:t xml:space="preserve">How does BigID model an event-based trigger like End of Relationship — is it a native concept, or built via ingested reference data and custom rules?</w:t>
      </w:r>
    </w:p>
    <w:p>
      <w:pPr>
        <w:pStyle w:val="ListParagraph"/>
        <w:numPr>
          <w:ilvl w:val="0"/>
          <w:numId w:val="9"/>
        </w:numPr>
      </w:pPr>
      <w:r>
        <w:t xml:space="preserve">Can retention policies be evaluated at row level in structured sources, or only at object/table level? What's required to get to row level?</w:t>
      </w:r>
    </w:p>
    <w:p>
      <w:pPr>
        <w:pStyle w:val="ListParagraph"/>
        <w:numPr>
          <w:ilvl w:val="0"/>
          <w:numId w:val="9"/>
        </w:numPr>
      </w:pPr>
      <w:r>
        <w:t xml:space="preserve">How do you handle a table containing records under multiple business activities, or multiple clients with different EOR dates?</w:t>
      </w:r>
    </w:p>
    <w:p>
      <w:pPr>
        <w:pStyle w:val="ListParagraph"/>
        <w:numPr>
          <w:ilvl w:val="0"/>
          <w:numId w:val="9"/>
        </w:numPr>
      </w:pPr>
      <w:r>
        <w:t xml:space="preserve">Can we bulk-import our retention schedule, and how are updates (new versions, changed periods) propagated to already-classified data?</w:t>
      </w:r>
    </w:p>
    <w:p>
      <w:pPr/>
      <w:r>
        <w:rPr>
          <w:b/>
        </w:rPr>
        <w:t xml:space="preserve">Classification accuracy</w:t>
      </w:r>
    </w:p>
    <w:p>
      <w:pPr>
        <w:pStyle w:val="ListParagraph"/>
        <w:numPr>
          <w:ilvl w:val="0"/>
          <w:numId w:val="10"/>
        </w:numPr>
      </w:pPr>
      <w:r>
        <w:t xml:space="preserve">How is business-activity classification trained or tuned — regex, ML, metadata-based? What accuracy have similar financial-services clients seen out of the box vs. after tuning?</w:t>
      </w:r>
    </w:p>
    <w:p>
      <w:pPr>
        <w:pStyle w:val="ListParagraph"/>
        <w:numPr>
          <w:ilvl w:val="0"/>
          <w:numId w:val="10"/>
        </w:numPr>
      </w:pPr>
      <w:r>
        <w:t xml:space="preserve">What does the review/exception workflow look like when confidence is low, and how much effort does it typically demand from data owners?</w:t>
      </w:r>
    </w:p>
    <w:p>
      <w:pPr/>
      <w:r>
        <w:rPr>
          <w:b/>
        </w:rPr>
        <w:t xml:space="preserve">Disposition &amp; safety</w:t>
      </w:r>
    </w:p>
    <w:p>
      <w:pPr>
        <w:pStyle w:val="ListParagraph"/>
        <w:numPr>
          <w:ilvl w:val="0"/>
          <w:numId w:val="11"/>
        </w:numPr>
      </w:pPr>
      <w:r>
        <w:t xml:space="preserve">Does BigID execute deletion natively in Snowflake/Oracle/DB2, or hand off tickets/API calls to source-system teams? Who is accountable for the actual delete?</w:t>
      </w:r>
    </w:p>
    <w:p>
      <w:pPr>
        <w:pStyle w:val="ListParagraph"/>
        <w:numPr>
          <w:ilvl w:val="0"/>
          <w:numId w:val="11"/>
        </w:numPr>
      </w:pPr>
      <w:r>
        <w:t xml:space="preserve">Walk us through simulation mode — what evidence do we get before approving a disposition run?</w:t>
      </w:r>
    </w:p>
    <w:p>
      <w:pPr>
        <w:pStyle w:val="ListParagraph"/>
        <w:numPr>
          <w:ilvl w:val="0"/>
          <w:numId w:val="11"/>
        </w:numPr>
      </w:pPr>
      <w:r>
        <w:t xml:space="preserve">How are legal holds applied and released, and can they integrate with our existing legal hold system?</w:t>
      </w:r>
    </w:p>
    <w:p>
      <w:pPr>
        <w:pStyle w:val="ListParagraph"/>
        <w:numPr>
          <w:ilvl w:val="0"/>
          <w:numId w:val="11"/>
        </w:numPr>
      </w:pPr>
      <w:r>
        <w:t xml:space="preserve">What happens if a disposition run partially fails mid-execution?</w:t>
      </w:r>
    </w:p>
    <w:p>
      <w:pPr/>
      <w:r>
        <w:rPr>
          <w:b/>
        </w:rPr>
        <w:t xml:space="preserve">Scale &amp; performance</w:t>
      </w:r>
    </w:p>
    <w:p>
      <w:pPr>
        <w:pStyle w:val="ListParagraph"/>
        <w:numPr>
          <w:ilvl w:val="0"/>
          <w:numId w:val="12"/>
        </w:numPr>
      </w:pPr>
      <w:r>
        <w:t xml:space="preserve">What's the largest structured-data estate (sources, tables, rows) you've run retention against in production, and what needed redesign at that scale?</w:t>
      </w:r>
    </w:p>
    <w:p>
      <w:pPr>
        <w:pStyle w:val="ListParagraph"/>
        <w:numPr>
          <w:ilvl w:val="0"/>
          <w:numId w:val="12"/>
        </w:numPr>
      </w:pPr>
      <w:r>
        <w:t xml:space="preserve">How does incremental scanning work, and what load does it put on source systems?</w:t>
      </w:r>
    </w:p>
    <w:p>
      <w:pPr/>
      <w:r>
        <w:rPr>
          <w:b/>
        </w:rPr>
        <w:t xml:space="preserve">Implementation &amp; timeline</w:t>
      </w:r>
    </w:p>
    <w:p>
      <w:pPr>
        <w:pStyle w:val="ListParagraph"/>
        <w:numPr>
          <w:ilvl w:val="0"/>
          <w:numId w:val="13"/>
        </w:numPr>
      </w:pPr>
      <w:r>
        <w:t xml:space="preserve">What does a typical phased rollout look like (discovery → classification → correlation → simulated disposition → live disposition), and how long is each phase for a firm our size?</w:t>
      </w:r>
    </w:p>
    <w:p>
      <w:pPr>
        <w:pStyle w:val="ListParagraph"/>
        <w:numPr>
          <w:ilvl w:val="0"/>
          <w:numId w:val="13"/>
        </w:numPr>
      </w:pPr>
      <w:r>
        <w:t xml:space="preserve">What do you need from us before and during implementation — connection accounts, sample retention schedule, EOR reference feed, data owner availability?</w:t>
      </w:r>
    </w:p>
    <w:p>
      <w:pPr>
        <w:pStyle w:val="ListParagraph"/>
        <w:numPr>
          <w:ilvl w:val="0"/>
          <w:numId w:val="13"/>
        </w:numPr>
      </w:pPr>
      <w:r>
        <w:t xml:space="preserve">What are the top three reasons these implementations stall at other financial-services clients, and how do we avoid them?</w:t>
      </w:r>
    </w:p>
    <w:p>
      <w:pPr>
        <w:pStyle w:val="ListParagraph"/>
        <w:numPr>
          <w:ilvl w:val="0"/>
          <w:numId w:val="13"/>
        </w:numPr>
      </w:pPr>
      <w:r>
        <w:t xml:space="preserve">What does the post-go-live operating model look like — who tunes classifiers, who owns exceptions, and what's the vendor vs. client split?</w:t>
      </w:r>
    </w:p>
    <w:p>
      <w:pPr/>
      <w:r>
        <w:rPr>
          <w:b/>
        </w:rPr>
        <w:t xml:space="preserve">Commercial / roadmap</w:t>
      </w:r>
    </w:p>
    <w:p>
      <w:pPr>
        <w:pStyle w:val="ListParagraph"/>
        <w:numPr>
          <w:ilvl w:val="0"/>
          <w:numId w:val="14"/>
        </w:numPr>
      </w:pPr>
      <w:r>
        <w:t xml:space="preserve">How is this licensed — by source, volume, or module? Does row-level disposition require additional modules?</w:t>
      </w:r>
    </w:p>
    <w:p>
      <w:pPr>
        <w:pStyle w:val="ListParagraph"/>
        <w:numPr>
          <w:ilvl w:val="0"/>
          <w:numId w:val="14"/>
        </w:numPr>
      </w:pPr>
      <w:r>
        <w:t xml:space="preserve">What's on the roadmap for unstructured data, since we plan to expand there after structured?</w:t>
      </w:r>
    </w:p>
    <w:p>
      <w:pPr>
        <w:pStyle w:val="Heading2"/>
      </w:pPr>
      <w:r>
        <w:t xml:space="preserve">Suggested session exercise</w:t>
      </w:r>
    </w:p>
    <w:p>
      <w:pPr/>
      <w:r>
        <w:t xml:space="preserve">Bring one concrete scenario and ask BigID to whiteboard it end to end: a closed client with Account Opening records in Oracle and Client Communications in another system. Have them show exactly how BigID would classify the records, correlate the End of Relationship date from our reference source, evaluate eligibility under "10 years after EOR," simulate the disposition, route approvals, and produce the disposal certificate. Working one real example exposes gaps faster than feature Q&amp;A.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1"/>
    <w:lvlOverride w:ilvl="0">
      <w:startOverride w:val="5"/>
    </w:lvlOverride>
  </w:num>
  <w:num w:numId="11">
    <w:abstractNumId w:val="1"/>
    <w:lvlOverride w:ilvl="0">
      <w:startOverride w:val="7"/>
    </w:lvlOverride>
  </w:num>
  <w:num w:numId="12">
    <w:abstractNumId w:val="1"/>
    <w:lvlOverride w:ilvl="0">
      <w:startOverride w:val="11"/>
    </w:lvlOverride>
  </w:num>
  <w:num w:numId="13">
    <w:abstractNumId w:val="1"/>
    <w:lvlOverride w:ilvl="0">
      <w:startOverride w:val="13"/>
    </w:lvlOverride>
  </w:num>
  <w:num w:numId="14">
    <w:abstractNumId w:val="1"/>
    <w:lvlOverride w:ilvl="0">
      <w:startOverride w:val="17"/>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BigID Deep Dive – DRD Requirements &amp; Questions</dc:title>
  <dc:description>Claude Docs node/ae334191-bbb0@12 docx-w5</dc:description>
  <cp:revision>12</cp:revision>
</cp:coreProperties>
</file>