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Понамарев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4803006" cy="4735629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1981899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024387" cy="4764505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476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2549635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4995511" cy="4745254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3656370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13145" cy="4745254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2577009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3958515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33</w:t>
      </w:r>
    </w:p>
    <w:p>
      <w:pPr>
        <w:numPr>
          <w:ilvl w:val="0"/>
          <w:numId w:val="1006"/>
        </w:numPr>
      </w:pPr>
      <w:r>
        <w:t xml:space="preserve">33 - номер строки</w:t>
      </w:r>
    </w:p>
    <w:p>
      <w:pPr>
        <w:numPr>
          <w:ilvl w:val="0"/>
          <w:numId w:val="1006"/>
        </w:numPr>
      </w:pPr>
      <w:r>
        <w:t xml:space="preserve">0000001B - адрес</w:t>
      </w:r>
    </w:p>
    <w:p>
      <w:pPr>
        <w:numPr>
          <w:ilvl w:val="0"/>
          <w:numId w:val="1006"/>
        </w:numPr>
      </w:pPr>
      <w:r>
        <w:t xml:space="preserve">89C1 - машинный код</w:t>
      </w:r>
    </w:p>
    <w:p>
      <w:pPr>
        <w:numPr>
          <w:ilvl w:val="0"/>
          <w:numId w:val="1006"/>
        </w:numPr>
      </w:pPr>
      <w:r>
        <w:t xml:space="preserve">mov ecx, eax - код программы</w:t>
      </w:r>
    </w:p>
    <w:p>
      <w:pPr>
        <w:pStyle w:val="FirstParagraph"/>
      </w:pPr>
      <w:r>
        <w:t xml:space="preserve">строка 34</w:t>
      </w:r>
    </w:p>
    <w:p>
      <w:pPr>
        <w:numPr>
          <w:ilvl w:val="0"/>
          <w:numId w:val="1007"/>
        </w:numPr>
      </w:pPr>
      <w:r>
        <w:t xml:space="preserve">34 - номер строки</w:t>
      </w:r>
    </w:p>
    <w:p>
      <w:pPr>
        <w:numPr>
          <w:ilvl w:val="0"/>
          <w:numId w:val="1007"/>
        </w:numPr>
      </w:pPr>
      <w:r>
        <w:t xml:space="preserve">0000001D - адрес</w:t>
      </w:r>
    </w:p>
    <w:p>
      <w:pPr>
        <w:numPr>
          <w:ilvl w:val="0"/>
          <w:numId w:val="1007"/>
        </w:numPr>
      </w:pPr>
      <w:r>
        <w:t xml:space="preserve">BB01000000 - машинный код</w:t>
      </w:r>
    </w:p>
    <w:p>
      <w:pPr>
        <w:numPr>
          <w:ilvl w:val="0"/>
          <w:numId w:val="1007"/>
        </w:numPr>
      </w:pPr>
      <w:r>
        <w:t xml:space="preserve">mov ebx, 1 - код программы</w:t>
      </w:r>
    </w:p>
    <w:p>
      <w:pPr>
        <w:pStyle w:val="FirstParagraph"/>
      </w:pPr>
      <w:r>
        <w:t xml:space="preserve">строка 35</w:t>
      </w:r>
    </w:p>
    <w:p>
      <w:pPr>
        <w:numPr>
          <w:ilvl w:val="0"/>
          <w:numId w:val="1008"/>
        </w:numPr>
      </w:pPr>
      <w:r>
        <w:t xml:space="preserve">35 - номер строки</w:t>
      </w:r>
    </w:p>
    <w:p>
      <w:pPr>
        <w:numPr>
          <w:ilvl w:val="0"/>
          <w:numId w:val="1008"/>
        </w:numPr>
      </w:pPr>
      <w:r>
        <w:t xml:space="preserve">00000022 - адрес</w:t>
      </w:r>
    </w:p>
    <w:p>
      <w:pPr>
        <w:numPr>
          <w:ilvl w:val="0"/>
          <w:numId w:val="1008"/>
        </w:numPr>
      </w:pPr>
      <w:r>
        <w:t xml:space="preserve">B804000000 - машинный код</w:t>
      </w:r>
    </w:p>
    <w:p>
      <w:pPr>
        <w:numPr>
          <w:ilvl w:val="0"/>
          <w:numId w:val="1008"/>
        </w:numPr>
      </w:pPr>
      <w:r>
        <w:t xml:space="preserve">mov eax, 4 -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1576511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3918036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8 - 52 33 40</w:t>
      </w:r>
    </w:p>
    <w:p>
      <w:pPr>
        <w:pStyle w:val="CaptionedFigure"/>
      </w:pPr>
      <w:bookmarkStart w:id="70" w:name="fig:012"/>
      <w:r>
        <w:drawing>
          <wp:inline>
            <wp:extent cx="5334000" cy="4710420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1578345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8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4129237" cy="4697128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2638926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Понамарев Алексей Михайлович НПИбд-02-22</dc:creator>
  <dc:language>ru-RU</dc:language>
  <cp:keywords/>
  <dcterms:created xsi:type="dcterms:W3CDTF">2022-12-02T13:29:33Z</dcterms:created>
  <dcterms:modified xsi:type="dcterms:W3CDTF">2022-12-02T13:29:33Z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