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4"/>
          <w:shd w:fill="auto" w:val="clear"/>
        </w:rPr>
      </w:pPr>
    </w:p>
    <w:tbl>
      <w:tblPr/>
      <w:tblGrid>
        <w:gridCol w:w="9923"/>
      </w:tblGrid>
      <w:tr>
        <w:trPr>
          <w:trHeight w:val="1" w:hRule="atLeast"/>
          <w:jc w:val="left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822" w:leader="none"/>
              </w:tabs>
              <w:suppressAutoHyphens w:val="true"/>
              <w:spacing w:before="120" w:after="12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BTS </w:t>
            </w:r>
            <w:r>
              <w:rPr>
                <w:rFonts w:ascii="Arial" w:hAnsi="Arial" w:cs="Arial" w:eastAsia="Arial"/>
                <w:b/>
                <w:caps w:val="true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Services informatiques aux organisations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ab/>
              <w:t xml:space="preserve">SESSION 2026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ANNEXE 7-1-A : Fiche descriptive de réalisation professionnelle (recto)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  <w:sz w:val="22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Épreuve E6 - Administration des systèmes et des réseaux (option SISR)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Coefficient 4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1"/>
          <w:u w:val="single"/>
          <w:shd w:fill="auto" w:val="clear"/>
        </w:rPr>
      </w:pPr>
    </w:p>
    <w:tbl>
      <w:tblPr/>
      <w:tblGrid>
        <w:gridCol w:w="3119"/>
        <w:gridCol w:w="4111"/>
        <w:gridCol w:w="709"/>
        <w:gridCol w:w="1984"/>
        <w:gridCol w:w="1987"/>
      </w:tblGrid>
      <w:tr>
        <w:trPr>
          <w:trHeight w:val="406" w:hRule="auto"/>
          <w:jc w:val="left"/>
          <w:cantSplit w:val="1"/>
        </w:trPr>
        <w:tc>
          <w:tcPr>
            <w:tcW w:w="7939" w:type="dxa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120" w:after="120" w:line="276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DESCRIPTION D’UNE RÉALISATION PROFESSIONNELLE</w:t>
            </w:r>
          </w:p>
        </w:tc>
        <w:tc>
          <w:tcPr>
            <w:tcW w:w="198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1837" w:leader="dot"/>
              </w:tabs>
              <w:suppressAutoHyphens w:val="true"/>
              <w:spacing w:before="12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N° réalisation : P2</w:t>
            </w:r>
          </w:p>
        </w:tc>
      </w:tr>
      <w:tr>
        <w:trPr>
          <w:trHeight w:val="438" w:hRule="auto"/>
          <w:jc w:val="left"/>
          <w:cantSplit w:val="1"/>
        </w:trPr>
        <w:tc>
          <w:tcPr>
            <w:tcW w:w="7230" w:type="dxa"/>
            <w:gridSpan w:val="2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6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Nom, prénom : Eudes Thomas </w:t>
            </w:r>
          </w:p>
        </w:tc>
        <w:tc>
          <w:tcPr>
            <w:tcW w:w="2693" w:type="dxa"/>
            <w:gridSpan w:val="2"/>
            <w:tcBorders>
              <w:top w:val="single" w:color="000000" w:sz="4"/>
              <w:left w:val="single" w:color="000000" w:sz="4"/>
              <w:bottom w:val="single" w:color="000000" w:sz="0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60" w:after="6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N° candidat : 7615000595</w:t>
            </w:r>
          </w:p>
        </w:tc>
      </w:tr>
      <w:tr>
        <w:trPr>
          <w:trHeight w:val="406" w:hRule="auto"/>
          <w:jc w:val="left"/>
          <w:cantSplit w:val="1"/>
        </w:trPr>
        <w:tc>
          <w:tcPr>
            <w:tcW w:w="311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0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2554" w:leader="none"/>
              </w:tabs>
              <w:suppressAutoHyphens w:val="true"/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Épreuve ponctuelle Oui</w:t>
              <w:tab/>
            </w:r>
          </w:p>
        </w:tc>
        <w:tc>
          <w:tcPr>
            <w:tcW w:w="4111" w:type="dxa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tabs>
                <w:tab w:val="right" w:pos="1986" w:leader="none"/>
              </w:tabs>
              <w:suppressAutoHyphens w:val="true"/>
              <w:spacing w:before="120" w:after="12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Contrôle en cours de formation Non</w:t>
              <w:tab/>
            </w:r>
          </w:p>
        </w:tc>
        <w:tc>
          <w:tcPr>
            <w:tcW w:w="2693" w:type="dxa"/>
            <w:gridSpan w:val="2"/>
            <w:tcBorders>
              <w:top w:val="single" w:color="000000" w:sz="4"/>
              <w:left w:val="single" w:color="000000" w:sz="0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120" w:after="120" w:line="276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Date :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28 / 05 / 2026</w:t>
            </w:r>
          </w:p>
        </w:tc>
      </w:tr>
      <w:tr>
        <w:trPr>
          <w:trHeight w:val="510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Contexte de la réalisation professionnelle: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TiersLieux86 doit faire évoluer l'architecture système ( Windows Server et Active Directory ) pour accueillir des utilisateurs ValorElec sur son site de Chasseneuil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510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Intitulé de la réalisation professionnelle: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Mise en place en place d'un logiciel de gestion de parc informatique, qui permet de retraçer les informations matérielle et logicielles des utilisateurs, mais également de gérer les tickets d'incidents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624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tabs>
                <w:tab w:val="left" w:pos="0" w:leader="none"/>
                <w:tab w:val="right" w:pos="5104" w:leader="dot"/>
                <w:tab w:val="right" w:pos="9781" w:leader="dot"/>
              </w:tabs>
              <w:suppressAutoHyphens w:val="true"/>
              <w:spacing w:before="120" w:after="0" w:line="276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Période de réalisation professionnelle : 18/03/2026 au 02/04/2026          Lieu : Chez - soi</w:t>
            </w:r>
          </w:p>
          <w:p>
            <w:pPr>
              <w:tabs>
                <w:tab w:val="left" w:pos="0" w:leader="none"/>
              </w:tabs>
              <w:suppressAutoHyphens w:val="true"/>
              <w:spacing w:before="0" w:after="12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Modalité :</w:t>
              <w:tab/>
              <w:t xml:space="preserve">  Seul(e): Seul</w:t>
              <w:tab/>
              <w:tab/>
              <w:t xml:space="preserve">  En équipe: Pas d'équipe</w:t>
            </w:r>
          </w:p>
        </w:tc>
      </w:tr>
      <w:tr>
        <w:trPr>
          <w:trHeight w:val="1275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Compétences travaillées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x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Concevoir une solution d’infrastructure réseau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x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Installer, tester et déployer une solution d’infrastructure réseau</w:t>
            </w:r>
          </w:p>
          <w:p>
            <w:pPr>
              <w:tabs>
                <w:tab w:val="left" w:pos="1135" w:leader="none"/>
              </w:tabs>
              <w:suppressAutoHyphens w:val="true"/>
              <w:spacing w:before="0" w:after="12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ab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x 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Exploiter, dépanner et superviser une solution d’infrastructure réseau</w:t>
            </w:r>
          </w:p>
        </w:tc>
      </w:tr>
      <w:tr>
        <w:trPr>
          <w:trHeight w:val="1077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Conditions de réalisation (ressources fournies, résultats attendus):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Un cahier des charges a été fourni en amont du projet afin de définir les besoins et contraintes.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Celui-ci présentait: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mise en place d'un outil de gestion de parc et de support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l'intégration avec l'Active directory existant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gestion des utilisateurs via l'authentification centralisée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mise en place d'un systéme de gestion des tickets d'incidents sur les comptes utilisateurs</w:t>
            </w:r>
          </w:p>
          <w:p>
            <w:pPr>
              <w:numPr>
                <w:ilvl w:val="0"/>
                <w:numId w:val="37"/>
              </w:numPr>
              <w:suppressAutoHyphens w:val="true"/>
              <w:spacing w:before="0" w:after="0" w:line="240"/>
              <w:ind w:right="0" w:left="720" w:hanging="36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La nécessité de tester la solution (simulation d'incidents)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  <w:tr>
        <w:trPr>
          <w:trHeight w:val="1077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Description des ressources documentaires, matérielles et logicielles utilisées 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Documentaires: </w:t>
            </w:r>
          </w:p>
          <w:p>
            <w:pPr>
              <w:numPr>
                <w:ilvl w:val="0"/>
                <w:numId w:val="42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Cahier des charges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Ressources matérielles utilisées :</w:t>
            </w:r>
          </w:p>
          <w:p>
            <w:pPr>
              <w:numPr>
                <w:ilvl w:val="0"/>
                <w:numId w:val="44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proxmox (physique et virtuelle) hébergeant la solution GLPI</w:t>
            </w:r>
          </w:p>
          <w:p>
            <w:pPr>
              <w:numPr>
                <w:ilvl w:val="0"/>
                <w:numId w:val="44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Active Directory pour la gestion des utilisateurs ( sur la VM proxmox)</w:t>
            </w:r>
          </w:p>
          <w:p>
            <w:pPr>
              <w:numPr>
                <w:ilvl w:val="0"/>
                <w:numId w:val="44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Poste client pour les tests (création de tickets, connexion utilisateurs)</w:t>
            </w:r>
          </w:p>
          <w:p>
            <w:pPr>
              <w:numPr>
                <w:ilvl w:val="0"/>
                <w:numId w:val="44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Espace de stockage pour les sauvegardes (local ou réseau 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Ressources logicielles utilisées: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GLPI : outil de gestion de parc informatique et de tickets d’incidents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Serveur web (Apache ou Nginx)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PHP : nécessaire au fonctionnement de GLPI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Base de données (MySQL ou MariaDB)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Active Directory (Windows Server) : gestion centralisée des utilisateurs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LDAP : protocole utilisé pour relier GLPI à l’Active Directory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Veeam Backup &amp; Replication : solution de sauvegarde des données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Système d’exploitation serveur (Linux ou Windows Server)</w:t>
            </w:r>
          </w:p>
          <w:p>
            <w:pPr>
              <w:numPr>
                <w:ilvl w:val="0"/>
                <w:numId w:val="46"/>
              </w:numPr>
              <w:suppressAutoHyphens w:val="true"/>
              <w:spacing w:before="0" w:after="0" w:line="240"/>
              <w:ind w:right="0" w:left="720" w:hanging="360"/>
              <w:jc w:val="both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Navigateur web (Chrome, Firefox, Edge) pour accéder à GLPI</w:t>
            </w:r>
          </w:p>
        </w:tc>
      </w:tr>
      <w:tr>
        <w:trPr>
          <w:trHeight w:val="850" w:hRule="auto"/>
          <w:jc w:val="left"/>
          <w:cantSplit w:val="1"/>
        </w:trPr>
        <w:tc>
          <w:tcPr>
            <w:tcW w:w="11910" w:type="dxa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Modalités d’accès aux productions  et à leur documentation 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Les productions sont accessibles via 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On retrouve une Documentation technique de la réalisation professionnelle contenant l'ensemble des procédures effectuer (Image, définition, procédure, commande, objectif 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Lien portfolio :</w:t>
            </w:r>
            <w:hyperlink xmlns:r="http://schemas.openxmlformats.org/officeDocument/2006/relationships" r:id="docRId0">
              <w:r>
                <w:rPr>
                  <w:rFonts w:ascii="Arial" w:hAnsi="Arial" w:cs="Arial" w:eastAsia="Arial"/>
                  <w:color w:val="0000FF"/>
                  <w:spacing w:val="0"/>
                  <w:position w:val="0"/>
                  <w:sz w:val="20"/>
                  <w:u w:val="single"/>
                  <w:shd w:fill="auto" w:val="clear"/>
                </w:rPr>
                <w:t xml:space="preserve">https://amputatif-prog.github.io/THOMAS/#about</w:t>
              </w:r>
            </w:hyperlink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both"/>
              <w:rPr>
                <w:color w:val="auto"/>
                <w:spacing w:val="0"/>
                <w:position w:val="0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  <w:tbl>
      <w:tblPr/>
      <w:tblGrid>
        <w:gridCol w:w="9923"/>
      </w:tblGrid>
      <w:tr>
        <w:trPr>
          <w:trHeight w:val="1" w:hRule="atLeast"/>
          <w:jc w:val="left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auto" w:fill="auto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7822" w:leader="none"/>
              </w:tabs>
              <w:suppressAutoHyphens w:val="true"/>
              <w:spacing w:before="120" w:after="120" w:line="240"/>
              <w:ind w:right="0" w:left="0" w:firstLine="0"/>
              <w:jc w:val="left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BTS </w:t>
            </w:r>
            <w:r>
              <w:rPr>
                <w:rFonts w:ascii="Arial" w:hAnsi="Arial" w:cs="Arial" w:eastAsia="Arial"/>
                <w:b/>
                <w:caps w:val="true"/>
                <w:color w:val="auto"/>
                <w:spacing w:val="0"/>
                <w:position w:val="0"/>
                <w:sz w:val="22"/>
                <w:shd w:fill="auto" w:val="clear"/>
              </w:rPr>
              <w:t xml:space="preserve">Services informatiques aux organisations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ab/>
              <w:t xml:space="preserve">SESSION 2026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ANNEXE 7-1-A : Fiche descriptive de réalisation professionnelle </w:t>
            </w:r>
            <w:r>
              <w:rPr>
                <w:rFonts w:ascii="Times" w:hAnsi="Times" w:cs="Times" w:eastAsia="Times"/>
                <w:color w:val="auto"/>
                <w:spacing w:val="0"/>
                <w:position w:val="0"/>
                <w:sz w:val="24"/>
                <w:shd w:fill="auto" w:val="clear"/>
              </w:rPr>
              <w:br/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(verso, éventuellement pages suivantes)</w:t>
            </w:r>
          </w:p>
          <w:p>
            <w:pPr>
              <w:suppressAutoHyphens w:val="true"/>
              <w:spacing w:before="120" w:after="120" w:line="240"/>
              <w:ind w:right="0" w:left="0" w:firstLine="0"/>
              <w:jc w:val="center"/>
              <w:rPr>
                <w:color w:val="auto"/>
                <w:spacing w:val="0"/>
                <w:position w:val="0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Épreuve E6 - Administration des systèmes et des réseaux (option SISR)</w:t>
            </w: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2"/>
                <w:shd w:fill="auto" w:val="clear"/>
              </w:rPr>
              <w:t xml:space="preserve">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2"/>
                <w:shd w:fill="auto" w:val="clear"/>
              </w:rPr>
              <w:t xml:space="preserve">- Coefficient 4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11"/>
          <w:u w:val="single"/>
          <w:shd w:fill="auto" w:val="clear"/>
        </w:rPr>
      </w:pPr>
    </w:p>
    <w:tbl>
      <w:tblPr/>
      <w:tblGrid>
        <w:gridCol w:w="9923"/>
      </w:tblGrid>
      <w:tr>
        <w:trPr>
          <w:trHeight w:val="406" w:hRule="auto"/>
          <w:jc w:val="left"/>
          <w:cantSplit w:val="1"/>
        </w:trPr>
        <w:tc>
          <w:tcPr>
            <w:tcW w:w="992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0" w:type="dxa"/>
              <w:right w:w="0" w:type="dxa"/>
            </w:tcMar>
            <w:vAlign w:val="center"/>
          </w:tcPr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Descriptif de la réalisation professionnelle, y compris les productions réalisées et schémas explicatifs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Inventaire automatisé du parc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L’inventaire a été rendu opérationnel grâce au déploiement de l’Agent GLPI sur l’ensemble des postes.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Collecte : Récupération automatique du nom de machine, CPU, RAM, OS, logiciels, et état des disques.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Réseau : Extraction systématique des adresses IP et MAC.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Exportation : Mise en place d'un script d'extraction des données vers un fichier .csv pour permettre un suivi externe sous Excel/LibreOffice.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2. Infrastructure GLPI &amp; Liaison Active Directory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L’outil central a été déployé dans un environnement conteneurisé pour plus de flexibilité.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Déploiement : Installation de GLPI via Docker Desktop (conteneurs Apache/PHP et MariaDB).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Interconnexion LDAP : Liaison établie avec le contrôleur de domaine Windows Server 2025.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Automatisation : Utilisation d'une GPO (Gestion de stratégie de groupe) sur l'AD pour déployer l'agent GLPI sur tous les clients Windows sans intervention manuelle.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3.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Gestion des incidents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Mise en place d'un workflow de support hiérarchisé pour optimiser le temps de résolution.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 Accueil et résolution des incidents courants par les stagiaires.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 Prise en charge des problèmes complexes (réseau, serveurs) par l'équipe IT senior.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Accompagnement : Rédaction d'un mode opératoire simplifié destiné aux utilisateurs pour la saisie de tickets via l'interface web.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4. </w:t>
            </w:r>
            <w:r>
              <w:rPr>
                <w:rFonts w:ascii="Arial" w:hAnsi="Arial" w:cs="Arial" w:eastAsia="Arial"/>
                <w:b/>
                <w:color w:val="auto"/>
                <w:spacing w:val="0"/>
                <w:position w:val="0"/>
                <w:sz w:val="20"/>
                <w:shd w:fill="auto" w:val="clear"/>
              </w:rPr>
              <w:t xml:space="preserve">Stratégie de Sauvegarde et Continuité (BCP)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Garantie de la disponibilité des données en cas de sinistre.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Automatisation : Planification de sauvegardes journalières de la base de données SQL et des volumes Docker.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Tests de restauration : Réalisation de tests à blanc pour valider l'intégrité des données et mesurer le temps de reprise.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  <w:r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  <w:t xml:space="preserve">    Outils : Utilisation de scripts PowerShell ou de la solution Veeam selon les ressources disponibles.</w:t>
            </w: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rFonts w:ascii="Arial" w:hAnsi="Arial" w:cs="Arial" w:eastAsia="Arial"/>
                <w:color w:val="auto"/>
                <w:spacing w:val="0"/>
                <w:position w:val="0"/>
                <w:sz w:val="20"/>
                <w:shd w:fill="auto" w:val="clear"/>
              </w:rPr>
            </w:pPr>
          </w:p>
          <w:p>
            <w:pPr>
              <w:suppressAutoHyphens w:val="true"/>
              <w:spacing w:before="0" w:after="0" w:line="276"/>
              <w:ind w:right="0" w:left="0" w:firstLine="0"/>
              <w:jc w:val="left"/>
              <w:rPr>
                <w:color w:val="auto"/>
                <w:spacing w:val="0"/>
                <w:position w:val="0"/>
              </w:rPr>
            </w:pPr>
          </w:p>
        </w:tc>
      </w:tr>
    </w:tbl>
    <w:p>
      <w:pPr>
        <w:spacing w:before="0" w:after="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num w:numId="37">
    <w:abstractNumId w:val="18"/>
  </w:num>
  <w:num w:numId="42">
    <w:abstractNumId w:val="12"/>
  </w:num>
  <w:num w:numId="44">
    <w:abstractNumId w:val="6"/>
  </w:num>
  <w:num w:numId="4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amputatif-prog.github.io/THOMAS/#about" Id="docRId0" Type="http://schemas.openxmlformats.org/officeDocument/2006/relationships/hyperlink" /><Relationship Target="numbering.xml" Id="docRId1" Type="http://schemas.openxmlformats.org/officeDocument/2006/relationships/numbering" /><Relationship Target="styles.xml" Id="docRId2" Type="http://schemas.openxmlformats.org/officeDocument/2006/relationships/styles" /></Relationships>
</file>