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i w:val="false"/>
          <w:iCs w:val="false"/>
          <w:color w:val="1A1A1A"/>
          <w:sz w:val="46"/>
          <w:szCs w:val="46"/>
        </w:rPr>
        <w:t xml:space="preserve">FIELDWORK</w:t>
      </w:r>
    </w:p>
    <w:p>
      <w:pPr>
        <w:spacing w:after="20"/>
      </w:pPr>
      <w:r>
        <w:rPr>
          <w:rFonts w:ascii="Calibri" w:cs="Calibri" w:eastAsia="Calibri" w:hAnsi="Calibri"/>
          <w:b/>
          <w:bCs/>
          <w:i w:val="false"/>
          <w:iCs w:val="false"/>
          <w:color w:val="0F5C57"/>
          <w:sz w:val="30"/>
          <w:szCs w:val="30"/>
        </w:rPr>
        <w:t xml:space="preserve">Part 2 · Resource Library</w:t>
      </w:r>
    </w:p>
    <w:p>
      <w:pPr>
        <w:spacing w:after="60"/>
      </w:pPr>
      <w:r>
        <w:rPr>
          <w:rFonts w:ascii="Calibri" w:cs="Calibri" w:eastAsia="Calibri" w:hAnsi="Calibri"/>
          <w:b w:val="false"/>
          <w:bCs w:val="false"/>
          <w:i/>
          <w:iCs/>
          <w:color w:val="5A5A5A"/>
          <w:sz w:val="21"/>
          <w:szCs w:val="21"/>
        </w:rPr>
        <w:t xml:space="preserve">Ten resource types for the companion-resource slot — with the two flagship sub-templates</w:t>
      </w:r>
    </w:p>
    <w:p>
      <w:pPr>
        <w:pBdr>
          <w:bottom w:val="single" w:color="C9C9C9" w:sz="6" w:space="8"/>
        </w:pBdr>
        <w:spacing w:after="40"/>
      </w:pPr>
      <w:r>
        <w:rPr>
          <w:rFonts w:ascii="Calibri" w:cs="Calibri" w:eastAsia="Calibri" w:hAnsi="Calibri"/>
          <w:b w:val="false"/>
          <w:bCs w:val="false"/>
          <w:i w:val="false"/>
          <w:iCs w:val="false"/>
          <w:color w:val="5A5A5A"/>
          <w:sz w:val="19"/>
          <w:szCs w:val="19"/>
        </w:rPr>
        <w:t xml:space="preserve">Accessibility · Disability Justice · Emergent Learning   ·   Accessible Learning Labs</w:t>
      </w:r>
    </w:p>
    <w:p>
      <w:pPr>
        <w:pStyle w:val="Heading1"/>
        <w:keepNext/>
        <w:spacing w:after="130" w:before="340"/>
      </w:pPr>
      <w:r>
        <w:rPr>
          <w:rFonts w:ascii="Calibri" w:cs="Calibri" w:eastAsia="Calibri" w:hAnsi="Calibri"/>
          <w:b/>
          <w:bCs/>
          <w:i w:val="false"/>
          <w:iCs w:val="false"/>
          <w:color w:val="0F5C57"/>
          <w:sz w:val="30"/>
          <w:szCs w:val="30"/>
        </w:rPr>
        <w:t xml:space="preserve">0 ·  </w:t>
      </w:r>
      <w:r>
        <w:rPr>
          <w:rFonts w:ascii="Calibri" w:cs="Calibri" w:eastAsia="Calibri" w:hAnsi="Calibri"/>
          <w:b/>
          <w:bCs/>
          <w:i w:val="false"/>
          <w:iCs w:val="false"/>
          <w:color w:val="1A1A1A"/>
          <w:sz w:val="30"/>
          <w:szCs w:val="30"/>
        </w:rPr>
        <w:t xml:space="preserve">How to use this document</w:t>
      </w:r>
    </w:p>
    <w:p>
      <w:pPr>
        <w:spacing w:after="120" w:before="0" w:line="264"/>
      </w:pPr>
      <w:r>
        <w:rPr>
          <w:rFonts w:ascii="Calibri" w:cs="Calibri" w:eastAsia="Calibri" w:hAnsi="Calibri"/>
          <w:b w:val="false"/>
          <w:bCs w:val="false"/>
          <w:i w:val="false"/>
          <w:iCs w:val="false"/>
          <w:color w:val="1A1A1A"/>
          <w:sz w:val="21"/>
          <w:szCs w:val="21"/>
        </w:rPr>
        <w:t xml:space="preserve">Every Part 2 carries a companion resource — the thing that lets a reader dig into the week’s core action and carry it back into their own practice. This library names the ten resource types that recur across the 24 weeks, ranked by how many weeks each serves and how directly it transfers the skill. The point is that you never start a Part 2 from a blank page: you decide which of these ten the week needs, then fill the matching sub-template.</w:t>
      </w:r>
    </w:p>
    <w:p>
      <w:pPr>
        <w:spacing w:after="120" w:before="0" w:line="264"/>
      </w:pPr>
      <w:r>
        <w:rPr>
          <w:rFonts w:ascii="Calibri" w:cs="Calibri" w:eastAsia="Calibri" w:hAnsi="Calibri"/>
          <w:b w:val="false"/>
          <w:bCs w:val="false"/>
          <w:i w:val="false"/>
          <w:iCs w:val="false"/>
          <w:color w:val="1A1A1A"/>
          <w:sz w:val="21"/>
          <w:szCs w:val="21"/>
        </w:rPr>
        <w:t xml:space="preserve">The ranking is derived from the </w:t>
      </w:r>
      <w:r>
        <w:rPr>
          <w:rFonts w:ascii="Calibri" w:cs="Calibri" w:eastAsia="Calibri" w:hAnsi="Calibri"/>
          <w:b w:val="false"/>
          <w:bCs w:val="false"/>
          <w:i/>
          <w:iCs/>
          <w:color w:val="1A1A1A"/>
          <w:sz w:val="21"/>
          <w:szCs w:val="21"/>
        </w:rPr>
        <w:t xml:space="preserve">cognitive move</w:t>
      </w:r>
      <w:r>
        <w:rPr>
          <w:rFonts w:ascii="Calibri" w:cs="Calibri" w:eastAsia="Calibri" w:hAnsi="Calibri"/>
          <w:b w:val="false"/>
          <w:bCs w:val="false"/>
          <w:i w:val="false"/>
          <w:iCs w:val="false"/>
          <w:color w:val="1A1A1A"/>
          <w:sz w:val="21"/>
          <w:szCs w:val="21"/>
        </w:rPr>
        <w:t xml:space="preserve"> each week asks of the reader — mapped across all 24 Part 2 activities — not from what has been published so far. Two candidate types were folded in: a standalone printable </w:t>
      </w:r>
      <w:r>
        <w:rPr>
          <w:rFonts w:ascii="Calibri" w:cs="Calibri" w:eastAsia="Calibri" w:hAnsi="Calibri"/>
          <w:b w:val="false"/>
          <w:bCs w:val="false"/>
          <w:i/>
          <w:iCs/>
          <w:color w:val="1A1A1A"/>
          <w:sz w:val="21"/>
          <w:szCs w:val="21"/>
        </w:rPr>
        <w:t xml:space="preserve">checklist</w:t>
      </w:r>
      <w:r>
        <w:rPr>
          <w:rFonts w:ascii="Calibri" w:cs="Calibri" w:eastAsia="Calibri" w:hAnsi="Calibri"/>
          <w:b w:val="false"/>
          <w:bCs w:val="false"/>
          <w:i w:val="false"/>
          <w:iCs w:val="false"/>
          <w:color w:val="1A1A1A"/>
          <w:sz w:val="21"/>
          <w:szCs w:val="21"/>
        </w:rPr>
        <w:t xml:space="preserve"> lives inside Type 1 as its linear form, and a </w:t>
      </w:r>
      <w:r>
        <w:rPr>
          <w:rFonts w:ascii="Calibri" w:cs="Calibri" w:eastAsia="Calibri" w:hAnsi="Calibri"/>
          <w:b w:val="false"/>
          <w:bCs w:val="false"/>
          <w:i/>
          <w:iCs/>
          <w:color w:val="1A1A1A"/>
          <w:sz w:val="21"/>
          <w:szCs w:val="21"/>
        </w:rPr>
        <w:t xml:space="preserve">comparison matrix</w:t>
      </w:r>
      <w:r>
        <w:rPr>
          <w:rFonts w:ascii="Calibri" w:cs="Calibri" w:eastAsia="Calibri" w:hAnsi="Calibri"/>
          <w:b w:val="false"/>
          <w:bCs w:val="false"/>
          <w:i w:val="false"/>
          <w:iCs w:val="false"/>
          <w:color w:val="1A1A1A"/>
          <w:sz w:val="21"/>
          <w:szCs w:val="21"/>
        </w:rPr>
        <w:t xml:space="preserve"> lives inside Type 7.</w:t>
      </w:r>
    </w:p>
    <w:p>
      <w:pPr>
        <w:spacing w:after="120" w:before="0" w:line="264"/>
      </w:pPr>
      <w:r>
        <w:rPr>
          <w:rFonts w:ascii="Calibri" w:cs="Calibri" w:eastAsia="Calibri" w:hAnsi="Calibri"/>
          <w:b w:val="false"/>
          <w:bCs w:val="false"/>
          <w:i/>
          <w:iCs/>
          <w:color w:val="5A5A5A"/>
          <w:sz w:val="20"/>
          <w:szCs w:val="20"/>
        </w:rPr>
        <w:t xml:space="preserve">[Bracketed italic text throughout is an instruction to you — delete it before publishing. House spelling is Canadian/British: recognise, organisation, centred, honour. Byline: Accessible Learning Labs.]</w:t>
      </w:r>
    </w:p>
    <w:p>
      <w:pPr>
        <w:pStyle w:val="Heading1"/>
        <w:keepNext/>
        <w:spacing w:after="130" w:before="340"/>
      </w:pPr>
      <w:r>
        <w:rPr>
          <w:rFonts w:ascii="Calibri" w:cs="Calibri" w:eastAsia="Calibri" w:hAnsi="Calibri"/>
          <w:b/>
          <w:bCs/>
          <w:i w:val="false"/>
          <w:iCs w:val="false"/>
          <w:color w:val="0F5C57"/>
          <w:sz w:val="30"/>
          <w:szCs w:val="30"/>
        </w:rPr>
        <w:t xml:space="preserve">1 ·  </w:t>
      </w:r>
      <w:r>
        <w:rPr>
          <w:rFonts w:ascii="Calibri" w:cs="Calibri" w:eastAsia="Calibri" w:hAnsi="Calibri"/>
          <w:b/>
          <w:bCs/>
          <w:i w:val="false"/>
          <w:iCs w:val="false"/>
          <w:color w:val="1A1A1A"/>
          <w:sz w:val="30"/>
          <w:szCs w:val="30"/>
        </w:rPr>
        <w:t xml:space="preserve">The ten types at a glance</w:t>
      </w:r>
    </w:p>
    <w:p>
      <w:pPr>
        <w:spacing w:after="140" w:before="0" w:line="264"/>
      </w:pPr>
      <w:r>
        <w:rPr>
          <w:rFonts w:ascii="Calibri" w:cs="Calibri" w:eastAsia="Calibri" w:hAnsi="Calibri"/>
          <w:b w:val="false"/>
          <w:bCs w:val="false"/>
          <w:i w:val="false"/>
          <w:iCs w:val="false"/>
          <w:color w:val="1A1A1A"/>
          <w:sz w:val="21"/>
          <w:szCs w:val="21"/>
        </w:rPr>
        <w:t xml:space="preserve">The top four types alone cover roughly twenty of the twenty-four weeks. Build Types 1 and 2 well first — between them they unlock most of the series.</w:t>
      </w:r>
    </w:p>
    <w:tbl>
      <w:tblPr>
        <w:tblW w:type="dxa" w:w="9320"/>
        <w:tblBorders>
          <w:top w:val="single" w:color="C9C9C9" w:sz="4"/>
          <w:left w:val="single" w:color="C9C9C9" w:sz="4"/>
          <w:bottom w:val="single" w:color="C9C9C9" w:sz="4"/>
          <w:right w:val="single" w:color="C9C9C9" w:sz="4"/>
          <w:insideH w:val="single" w:color="C9C9C9" w:sz="4"/>
          <w:insideV w:val="single" w:color="C9C9C9" w:sz="4"/>
        </w:tblBorders>
      </w:tblPr>
      <w:tblGrid>
        <w:gridCol w:w="620"/>
        <w:gridCol w:w="3050"/>
        <w:gridCol w:w="2260"/>
        <w:gridCol w:w="3390"/>
      </w:tblGrid>
      <w:tr>
        <w:trPr>
          <w:tblHeader/>
        </w:trPr>
        <w:tc>
          <w:tcPr>
            <w:tcW w:type="dxa" w:w="62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w:t>
            </w:r>
          </w:p>
        </w:tc>
        <w:tc>
          <w:tcPr>
            <w:tcW w:type="dxa" w:w="305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Resource type</w:t>
            </w:r>
          </w:p>
        </w:tc>
        <w:tc>
          <w:tcPr>
            <w:tcW w:type="dxa" w:w="226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Weeks it serves</w:t>
            </w:r>
          </w:p>
        </w:tc>
        <w:tc>
          <w:tcPr>
            <w:tcW w:type="dxa" w:w="339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The reader’s cognitive move</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Self-diagnostic / audit tool</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1, 2, 3, 7, 8, 11, 16, 22</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Run the week’s lens over my own environment and get back a map of my gaps</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2</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Worked example / annotated exemplar</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3, 11, 12, 16, 19, 20, 22, 24</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See a finished model with the thinking exposed, so the unfamiliar move stops being abstract</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3</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Fillable canvas / one-page template</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5, 6, 14, 17, 21</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Produce a structured deliverable by completing a small set of fields</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4</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Statement builder (sentence-frame)</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4, 12, 21</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Compose one precise, revisable sentence</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5</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Facilitation / session protocol</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14, 15, 18, 23</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Run an accessible, non-extractive session with real participants</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6</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Relational mapping tool</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1, 9, 14</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Make invisible structure — who leads, who’s missing — visible</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7</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Decision aid (tree + comparison matrix)</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13, 20, 22</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Choose among options by weighing what each reveals and costs</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8</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Question / prompt bank</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4, 15, 16</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Ask better, less extractive questions by adapting a curated set</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9</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Observation / noticing guide</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3, 10, 22</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Watch systematically and record without concluding too early</w:t>
            </w:r>
          </w:p>
        </w:tc>
      </w:tr>
      <w:tr>
        <w:tc>
          <w:tcPr>
            <w:tcW w:type="dxa" w:w="6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10</w:t>
            </w:r>
          </w:p>
        </w:tc>
        <w:tc>
          <w:tcPr>
            <w:tcW w:type="dxa" w:w="3050"/>
            <w:tcMar>
              <w:top w:type="dxa" w:w="60"/>
              <w:left w:type="dxa" w:w="90"/>
              <w:bottom w:type="dxa" w:w="60"/>
              <w:right w:type="dxa" w:w="90"/>
            </w:tcMar>
          </w:tcPr>
          <w:p>
            <w:pPr>
              <w:spacing w:after="0" w:line="252"/>
            </w:pPr>
            <w:r>
              <w:rPr>
                <w:rFonts w:ascii="Calibri" w:cs="Calibri" w:eastAsia="Calibri" w:hAnsi="Calibri"/>
                <w:b/>
                <w:bCs/>
                <w:i w:val="false"/>
                <w:iCs w:val="false"/>
                <w:color w:val="1A1A1A"/>
                <w:sz w:val="19"/>
                <w:szCs w:val="19"/>
              </w:rPr>
              <w:t xml:space="preserve">Explainer (video / interactive)</w:t>
            </w:r>
          </w:p>
        </w:tc>
        <w:tc>
          <w:tcPr>
            <w:tcW w:type="dxa" w:w="226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conceptual fallback</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See the concept demonstrated before doing it</w:t>
            </w:r>
          </w:p>
        </w:tc>
      </w:tr>
    </w:tbl>
    <w:p>
      <w:pPr>
        <w:spacing w:after="120" w:before="0" w:line="264"/>
      </w:pPr>
      <w:r>
        <w:rPr>
          <w:rFonts w:ascii="Calibri" w:cs="Calibri" w:eastAsia="Calibri" w:hAnsi="Calibri"/>
          <w:b w:val="false"/>
          <w:bCs w:val="false"/>
          <w:i/>
          <w:iCs/>
          <w:color w:val="5A5A5A"/>
          <w:sz w:val="20"/>
          <w:szCs w:val="20"/>
        </w:rPr>
        <w:t xml:space="preserve">[Weeks are guides, not locks — a week can take a second resource type, and the two flagship types often pair (a worked example demonstrating how to read an audit result).]</w:t>
      </w:r>
    </w:p>
    <w:p>
      <w:r>
        <w:br w:type="page"/>
      </w:r>
    </w:p>
    <w:p>
      <w:pPr>
        <w:pStyle w:val="Heading1"/>
        <w:keepNext/>
        <w:spacing w:after="130" w:before="340"/>
      </w:pPr>
      <w:r>
        <w:rPr>
          <w:rFonts w:ascii="Calibri" w:cs="Calibri" w:eastAsia="Calibri" w:hAnsi="Calibri"/>
          <w:b/>
          <w:bCs/>
          <w:i w:val="false"/>
          <w:iCs w:val="false"/>
          <w:color w:val="0F5C57"/>
          <w:sz w:val="30"/>
          <w:szCs w:val="30"/>
        </w:rPr>
        <w:t xml:space="preserve">2 ·  </w:t>
      </w:r>
      <w:r>
        <w:rPr>
          <w:rFonts w:ascii="Calibri" w:cs="Calibri" w:eastAsia="Calibri" w:hAnsi="Calibri"/>
          <w:b/>
          <w:bCs/>
          <w:i w:val="false"/>
          <w:iCs w:val="false"/>
          <w:color w:val="1A1A1A"/>
          <w:sz w:val="30"/>
          <w:szCs w:val="30"/>
        </w:rPr>
        <w:t xml:space="preserve">The ten types in full</w:t>
      </w:r>
    </w:p>
    <w:p>
      <w:pPr>
        <w:spacing w:after="120" w:before="0" w:line="264"/>
      </w:pPr>
      <w:r>
        <w:rPr>
          <w:rFonts w:ascii="Calibri" w:cs="Calibri" w:eastAsia="Calibri" w:hAnsi="Calibri"/>
          <w:b w:val="false"/>
          <w:bCs w:val="false"/>
          <w:i w:val="false"/>
          <w:iCs w:val="false"/>
          <w:color w:val="1A1A1A"/>
          <w:sz w:val="21"/>
          <w:szCs w:val="21"/>
        </w:rPr>
        <w:t xml:space="preserve">Each entry gives what the type is for, why it earns its place with readers, and the components its sub-template must contain. Types 1 and 2 are then built out in full in Section 3.</w:t>
      </w:r>
    </w:p>
    <w:p>
      <w:pPr>
        <w:pStyle w:val="Heading2"/>
        <w:keepNext/>
        <w:spacing w:after="90" w:before="120"/>
      </w:pPr>
      <w:r>
        <w:rPr>
          <w:rFonts w:ascii="Calibri" w:cs="Calibri" w:eastAsia="Calibri" w:hAnsi="Calibri"/>
          <w:b/>
          <w:bCs/>
          <w:i w:val="false"/>
          <w:iCs w:val="false"/>
          <w:color w:val="0F5C57"/>
          <w:sz w:val="25"/>
          <w:szCs w:val="25"/>
        </w:rPr>
        <w:t xml:space="preserve">1.  </w:t>
      </w:r>
      <w:r>
        <w:rPr>
          <w:rFonts w:ascii="Calibri" w:cs="Calibri" w:eastAsia="Calibri" w:hAnsi="Calibri"/>
          <w:b/>
          <w:bCs/>
          <w:i w:val="false"/>
          <w:iCs w:val="false"/>
          <w:color w:val="1A1A1A"/>
          <w:sz w:val="25"/>
          <w:szCs w:val="25"/>
        </w:rPr>
        <w:t xml:space="preserve">Self-diagnostic / audit tool</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Two forms sharing one spine: an interactive version (hosted, branching, generates a personalised output) and a linear checklist version (printable, screen-reader-friendly). The linear form is not a lesser fallback — it is the accessible companion the ethic requires.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The reader applies the week’s lens to their own environment and gets back a personalised map of gaps. Highest transfer, lowest barrier — the signature move of the whole series. Already built twice (the Environment Scanner, Week 1; the Inclusive Audit Tool, Week 2).</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standard or lens it checks against, named plainly up front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small, fixed set of criteria (the lens broken into checkable parts)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two-column or scored structure: where you meet it / where you meet it and someone is still excluded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load-bearing instruction that the "still excludes" column is the actual output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Permission to adapt the criteria to the reader’s context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linear, keyboard- and screen-reader-friendly version + alt text on any visual</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One interpretation prompt that turns the result into a design decision</w:t>
      </w:r>
    </w:p>
    <w:p>
      <w:pPr>
        <w:pStyle w:val="Heading2"/>
        <w:keepNext/>
        <w:spacing w:after="90" w:before="260"/>
      </w:pPr>
      <w:r>
        <w:rPr>
          <w:rFonts w:ascii="Calibri" w:cs="Calibri" w:eastAsia="Calibri" w:hAnsi="Calibri"/>
          <w:b/>
          <w:bCs/>
          <w:i w:val="false"/>
          <w:iCs w:val="false"/>
          <w:color w:val="0F5C57"/>
          <w:sz w:val="25"/>
          <w:szCs w:val="25"/>
        </w:rPr>
        <w:t xml:space="preserve">2.  </w:t>
      </w:r>
      <w:r>
        <w:rPr>
          <w:rFonts w:ascii="Calibri" w:cs="Calibri" w:eastAsia="Calibri" w:hAnsi="Calibri"/>
          <w:b/>
          <w:bCs/>
          <w:i w:val="false"/>
          <w:iCs w:val="false"/>
          <w:color w:val="1A1A1A"/>
          <w:sz w:val="25"/>
          <w:szCs w:val="25"/>
        </w:rPr>
        <w:t xml:space="preserve">Worked example / annotated exemplar</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completed artifact shown whole, with margin annotations that expose the thinking behind each move.</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For the analytically unfamiliar weeks (reframe learner failure as design failure, code qualitative data, write a gap statement), a finished model with the reasoning made visible beats any set of instructions and dissolves blank-page paralysis.</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realistic but clearly-labelled composite context (fact-check gate: label composite/hypothetical as such)</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finished artifact shown whole, exactly as the reader’s should look</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Margin annotations naming the decision at each move — not describing, but explaining why</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short "common weak version" contrast so the reader can see the failure mode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brief "now do yours" bridge into the Try activity</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sourcing note if any element is drawn from a real, named case</w:t>
      </w:r>
    </w:p>
    <w:p>
      <w:pPr>
        <w:pStyle w:val="Heading2"/>
        <w:keepNext/>
        <w:spacing w:after="90" w:before="260"/>
      </w:pPr>
      <w:r>
        <w:rPr>
          <w:rFonts w:ascii="Calibri" w:cs="Calibri" w:eastAsia="Calibri" w:hAnsi="Calibri"/>
          <w:b/>
          <w:bCs/>
          <w:i w:val="false"/>
          <w:iCs w:val="false"/>
          <w:color w:val="0F5C57"/>
          <w:sz w:val="25"/>
          <w:szCs w:val="25"/>
        </w:rPr>
        <w:t xml:space="preserve">3.  </w:t>
      </w:r>
      <w:r>
        <w:rPr>
          <w:rFonts w:ascii="Calibri" w:cs="Calibri" w:eastAsia="Calibri" w:hAnsi="Calibri"/>
          <w:b/>
          <w:bCs/>
          <w:i w:val="false"/>
          <w:iCs w:val="false"/>
          <w:color w:val="1A1A1A"/>
          <w:sz w:val="25"/>
          <w:szCs w:val="25"/>
        </w:rPr>
        <w:t xml:space="preserve">Fillable canvas / one-page working template</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single-page scaffold of fields the reader completes to produce the week’s deliverable (proposal, consent plan, feasibility map, end-goal statement).</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Turns an abstract deliverable into fields you fill — the portfolio artifact assembles itself, matching the accumulating-dossier model. The one-page constraint is the discipline: anything longer stops being a guide and becomes a wall.</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Four to six fixed fields, no more (the one-page rule)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One guiding question per field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filled micro-example beneath each field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"done looks like this" line for the whole canvas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An explicit length or scope constraint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linear layout that reads correctly to a screen reader</w:t>
      </w:r>
    </w:p>
    <w:p>
      <w:pPr>
        <w:pStyle w:val="Heading2"/>
        <w:keepNext/>
        <w:spacing w:after="90" w:before="260"/>
      </w:pPr>
      <w:r>
        <w:rPr>
          <w:rFonts w:ascii="Calibri" w:cs="Calibri" w:eastAsia="Calibri" w:hAnsi="Calibri"/>
          <w:b/>
          <w:bCs/>
          <w:i w:val="false"/>
          <w:iCs w:val="false"/>
          <w:color w:val="0F5C57"/>
          <w:sz w:val="25"/>
          <w:szCs w:val="25"/>
        </w:rPr>
        <w:t xml:space="preserve">4.  </w:t>
      </w:r>
      <w:r>
        <w:rPr>
          <w:rFonts w:ascii="Calibri" w:cs="Calibri" w:eastAsia="Calibri" w:hAnsi="Calibri"/>
          <w:b/>
          <w:bCs/>
          <w:i w:val="false"/>
          <w:iCs w:val="false"/>
          <w:color w:val="1A1A1A"/>
          <w:sz w:val="25"/>
          <w:szCs w:val="25"/>
        </w:rPr>
        <w:t xml:space="preserve">Statement builder (sentence-frame scaffold)</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sentence frame with named slots the reader fills, plus examples strong and weak.</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The hardest weeks turn on a single well-formed sentence — the research question, the gap statement, the end-goal. A frame with slots makes precision reachable and, crucially, revisable rather than precious.</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sentence frame itself, with each slot labelled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Two or three strong filled examples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Weak versions with the specific fault flagged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self-test: is it open? answerable within constraints? does it name the most excluded?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prompt to pressure-test the sentence with a peer</w:t>
      </w:r>
    </w:p>
    <w:p>
      <w:pPr>
        <w:pStyle w:val="Heading2"/>
        <w:keepNext/>
        <w:spacing w:after="90" w:before="260"/>
      </w:pPr>
      <w:r>
        <w:rPr>
          <w:rFonts w:ascii="Calibri" w:cs="Calibri" w:eastAsia="Calibri" w:hAnsi="Calibri"/>
          <w:b/>
          <w:bCs/>
          <w:i w:val="false"/>
          <w:iCs w:val="false"/>
          <w:color w:val="0F5C57"/>
          <w:sz w:val="25"/>
          <w:szCs w:val="25"/>
        </w:rPr>
        <w:t xml:space="preserve">5.  </w:t>
      </w:r>
      <w:r>
        <w:rPr>
          <w:rFonts w:ascii="Calibri" w:cs="Calibri" w:eastAsia="Calibri" w:hAnsi="Calibri"/>
          <w:b/>
          <w:bCs/>
          <w:i w:val="false"/>
          <w:iCs w:val="false"/>
          <w:color w:val="1A1A1A"/>
          <w:sz w:val="25"/>
          <w:szCs w:val="25"/>
        </w:rPr>
        <w:t xml:space="preserve">Facilitation / session protocol</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step-through for running a live human session (co-design, participatory interview, findings session, feedback session).</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You are asking readers to hold accessible, non-extractive sessions with vulnerable participants — an intimidating human act. A protocol makes it safe, repeatable, and accountable.</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Purpose and who is in the room</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Pre-session access setup — format, pace, communication mode chosen with the participant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short opening script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core prompts: few, open, built to surface lived barriers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"capture the unasked-for" note practice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consent / accountability checkpoint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An after-session sort: what held across perspectives, what to renew</w:t>
      </w:r>
    </w:p>
    <w:p>
      <w:pPr>
        <w:pStyle w:val="Heading2"/>
        <w:keepNext/>
        <w:spacing w:after="90" w:before="260"/>
      </w:pPr>
      <w:r>
        <w:rPr>
          <w:rFonts w:ascii="Calibri" w:cs="Calibri" w:eastAsia="Calibri" w:hAnsi="Calibri"/>
          <w:b/>
          <w:bCs/>
          <w:i w:val="false"/>
          <w:iCs w:val="false"/>
          <w:color w:val="0F5C57"/>
          <w:sz w:val="25"/>
          <w:szCs w:val="25"/>
        </w:rPr>
        <w:t xml:space="preserve">6.  </w:t>
      </w:r>
      <w:r>
        <w:rPr>
          <w:rFonts w:ascii="Calibri" w:cs="Calibri" w:eastAsia="Calibri" w:hAnsi="Calibri"/>
          <w:b/>
          <w:bCs/>
          <w:i w:val="false"/>
          <w:iCs w:val="false"/>
          <w:color w:val="1A1A1A"/>
          <w:sz w:val="25"/>
          <w:szCs w:val="25"/>
        </w:rPr>
        <w:t xml:space="preserve">Relational mapping tool</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visual field on which the reader plots relationships (policy vs practice, power and voice, stakeholders and empty chairs).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Makes invisible structure visible — who leads, who benefits, who is most impacted, and the empty chair you only notice once it is plotted.</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two axes or zones to plot on</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legend (who leads / benefits / is most impacted)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An explicit prompt to mark absences, not just presences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worked micro-map</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linear table equivalent for screen readers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An interpretation prompt: the gaps are the finding</w:t>
      </w:r>
    </w:p>
    <w:p>
      <w:pPr>
        <w:pStyle w:val="Heading2"/>
        <w:keepNext/>
        <w:spacing w:after="90" w:before="260"/>
      </w:pPr>
      <w:r>
        <w:rPr>
          <w:rFonts w:ascii="Calibri" w:cs="Calibri" w:eastAsia="Calibri" w:hAnsi="Calibri"/>
          <w:b/>
          <w:bCs/>
          <w:i w:val="false"/>
          <w:iCs w:val="false"/>
          <w:color w:val="0F5C57"/>
          <w:sz w:val="25"/>
          <w:szCs w:val="25"/>
        </w:rPr>
        <w:t xml:space="preserve">7.  </w:t>
      </w:r>
      <w:r>
        <w:rPr>
          <w:rFonts w:ascii="Calibri" w:cs="Calibri" w:eastAsia="Calibri" w:hAnsi="Calibri"/>
          <w:b/>
          <w:bCs/>
          <w:i w:val="false"/>
          <w:iCs w:val="false"/>
          <w:color w:val="1A1A1A"/>
          <w:sz w:val="25"/>
          <w:szCs w:val="25"/>
        </w:rPr>
        <w:t xml:space="preserve">Decision aid (decision tree + comparison matrix)</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routing set of questions plus a side-by-side matrix of options against what each reveals and costs.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Stops readers defaulting to the prestigious or familiar choice by making tradeoffs explicit and tying each option to what it lets you see or miss.</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question being decided, stated plainly</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Two to four options as columns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Rows for what each reveals / costs / is accountable to</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routing question ("if your question is X, start here")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"match to your question, not to prestige" caution</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worked pick showing the reasoning end to end</w:t>
      </w:r>
    </w:p>
    <w:p>
      <w:pPr>
        <w:pStyle w:val="Heading2"/>
        <w:keepNext/>
        <w:spacing w:after="90" w:before="260"/>
      </w:pPr>
      <w:r>
        <w:rPr>
          <w:rFonts w:ascii="Calibri" w:cs="Calibri" w:eastAsia="Calibri" w:hAnsi="Calibri"/>
          <w:b/>
          <w:bCs/>
          <w:i w:val="false"/>
          <w:iCs w:val="false"/>
          <w:color w:val="0F5C57"/>
          <w:sz w:val="25"/>
          <w:szCs w:val="25"/>
        </w:rPr>
        <w:t xml:space="preserve">8.  </w:t>
      </w:r>
      <w:r>
        <w:rPr>
          <w:rFonts w:ascii="Calibri" w:cs="Calibri" w:eastAsia="Calibri" w:hAnsi="Calibri"/>
          <w:b/>
          <w:bCs/>
          <w:i w:val="false"/>
          <w:iCs w:val="false"/>
          <w:color w:val="1A1A1A"/>
          <w:sz w:val="25"/>
          <w:szCs w:val="25"/>
        </w:rPr>
        <w:t xml:space="preserve">Question / prompt bank</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curated, adaptable set of prompts grouped by purpose (research-question stems, interview prompts, survey items).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A curated set lowers the barrier and models what good, non-extractive questioning looks like — readers lift and localise rather than starting cold.</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Prompts grouped by purpose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"why this question" note on a representative few</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bias / extraction audit line: whose normal does this assume?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"keep it few and open" constraint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Space and permission to localise</w:t>
      </w:r>
    </w:p>
    <w:p>
      <w:pPr>
        <w:pStyle w:val="Heading2"/>
        <w:keepNext/>
        <w:spacing w:after="90" w:before="260"/>
      </w:pPr>
      <w:r>
        <w:rPr>
          <w:rFonts w:ascii="Calibri" w:cs="Calibri" w:eastAsia="Calibri" w:hAnsi="Calibri"/>
          <w:b/>
          <w:bCs/>
          <w:i w:val="false"/>
          <w:iCs w:val="false"/>
          <w:color w:val="0F5C57"/>
          <w:sz w:val="25"/>
          <w:szCs w:val="25"/>
        </w:rPr>
        <w:t xml:space="preserve">9.  </w:t>
      </w:r>
      <w:r>
        <w:rPr>
          <w:rFonts w:ascii="Calibri" w:cs="Calibri" w:eastAsia="Calibri" w:hAnsi="Calibri"/>
          <w:b/>
          <w:bCs/>
          <w:i w:val="false"/>
          <w:iCs w:val="false"/>
          <w:color w:val="1A1A1A"/>
          <w:sz w:val="25"/>
          <w:szCs w:val="25"/>
        </w:rPr>
        <w:t xml:space="preserve">Observation / noticing guide</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A structured guide for watching (where knowledge drops, where learning emerges, where the excluded user hits your assumptions).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The series’ whole identity is the practitioner who watches learners. This teaches structured noticing — what to look for, and how to record without interpreting too early.</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short focus list: what to watch for</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"watch, don’t explain" instruction</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two-column record: what happened / what I assumed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"mark the unexpected separately" practice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"don’t conclude yet" caution</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An accessible recording format</w:t>
      </w:r>
    </w:p>
    <w:p>
      <w:pPr>
        <w:pStyle w:val="Heading2"/>
        <w:keepNext/>
        <w:spacing w:after="90" w:before="260"/>
      </w:pPr>
      <w:r>
        <w:rPr>
          <w:rFonts w:ascii="Calibri" w:cs="Calibri" w:eastAsia="Calibri" w:hAnsi="Calibri"/>
          <w:b/>
          <w:bCs/>
          <w:i w:val="false"/>
          <w:iCs w:val="false"/>
          <w:color w:val="0F5C57"/>
          <w:sz w:val="25"/>
          <w:szCs w:val="25"/>
        </w:rPr>
        <w:t xml:space="preserve">10.  </w:t>
      </w:r>
      <w:r>
        <w:rPr>
          <w:rFonts w:ascii="Calibri" w:cs="Calibri" w:eastAsia="Calibri" w:hAnsi="Calibri"/>
          <w:b/>
          <w:bCs/>
          <w:i w:val="false"/>
          <w:iCs w:val="false"/>
          <w:color w:val="1A1A1A"/>
          <w:sz w:val="25"/>
          <w:szCs w:val="25"/>
        </w:rPr>
        <w:t xml:space="preserve">Explainer (short video or interactive explainer)</w:t>
      </w:r>
    </w:p>
    <w:p>
      <w:pPr>
        <w:spacing w:after="90" w:before="0" w:line="264"/>
      </w:pPr>
      <w:r>
        <w:rPr>
          <w:rFonts w:ascii="Calibri" w:cs="Calibri" w:eastAsia="Calibri" w:hAnsi="Calibri"/>
          <w:b/>
          <w:bCs/>
          <w:i w:val="false"/>
          <w:iCs w:val="false"/>
          <w:color w:val="0F5C57"/>
          <w:sz w:val="21"/>
          <w:szCs w:val="21"/>
        </w:rPr>
        <w:t xml:space="preserve">What it is  </w:t>
      </w:r>
      <w:r>
        <w:rPr>
          <w:rFonts w:ascii="Calibri" w:cs="Calibri" w:eastAsia="Calibri" w:hAnsi="Calibri"/>
          <w:b w:val="false"/>
          <w:bCs w:val="false"/>
          <w:i w:val="false"/>
          <w:iCs w:val="false"/>
          <w:color w:val="1A1A1A"/>
          <w:sz w:val="21"/>
          <w:szCs w:val="21"/>
        </w:rPr>
        <w:t xml:space="preserve">The original "Watch" slot — a demonstration for weeks where the move needs showing before doing. Use only when no artifact-producing type fits.</w:t>
      </w:r>
    </w:p>
    <w:p>
      <w:pPr>
        <w:spacing w:after="90" w:before="0" w:line="264"/>
      </w:pPr>
      <w:r>
        <w:rPr>
          <w:rFonts w:ascii="Calibri" w:cs="Calibri" w:eastAsia="Calibri" w:hAnsi="Calibri"/>
          <w:b/>
          <w:bCs/>
          <w:i w:val="false"/>
          <w:iCs w:val="false"/>
          <w:color w:val="0F5C57"/>
          <w:sz w:val="21"/>
          <w:szCs w:val="21"/>
        </w:rPr>
        <w:t xml:space="preserve">Why it lands  </w:t>
      </w:r>
      <w:r>
        <w:rPr>
          <w:rFonts w:ascii="Calibri" w:cs="Calibri" w:eastAsia="Calibri" w:hAnsi="Calibri"/>
          <w:b w:val="false"/>
          <w:bCs w:val="false"/>
          <w:i w:val="false"/>
          <w:iCs w:val="false"/>
          <w:color w:val="1A1A1A"/>
          <w:sz w:val="21"/>
          <w:szCs w:val="21"/>
        </w:rPr>
        <w:t xml:space="preserve">Some weeks need the concept demonstrated, not just described. Kept as the conscious fallback so it is a choice, not a default — and it always ships with a transcript.</w:t>
      </w:r>
    </w:p>
    <w:p>
      <w:pPr>
        <w:keepNext/>
        <w:spacing w:after="60" w:before="0" w:line="264"/>
      </w:pPr>
      <w:r>
        <w:rPr>
          <w:rFonts w:ascii="Calibri" w:cs="Calibri" w:eastAsia="Calibri" w:hAnsi="Calibri"/>
          <w:b/>
          <w:bCs/>
          <w:i w:val="false"/>
          <w:iCs w:val="false"/>
          <w:color w:val="0F5C57"/>
          <w:sz w:val="21"/>
          <w:szCs w:val="21"/>
        </w:rPr>
        <w:t xml:space="preserve">Template components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one-line "why this is worth your time"</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What the reader will be able to do afterward</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The demonstration itself (roughly ten minutes or less)</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transcript + linear, keyboard-friendly version</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A link to the Fieldwork playlist</w:t>
      </w:r>
    </w:p>
    <w:p>
      <w:pPr>
        <w:pStyle w:val="ListParagraph"/>
        <w:numPr>
          <w:ilvl w:val="0"/>
          <w:numId w:val="2"/>
        </w:numPr>
        <w:spacing w:after="60" w:line="258"/>
      </w:pPr>
      <w:r>
        <w:rPr>
          <w:rFonts w:ascii="Calibri" w:cs="Calibri" w:eastAsia="Calibri" w:hAnsi="Calibri"/>
          <w:b w:val="false"/>
          <w:bCs w:val="false"/>
          <w:i w:val="false"/>
          <w:iCs w:val="false"/>
          <w:color w:val="1A1A1A"/>
          <w:sz w:val="21"/>
          <w:szCs w:val="21"/>
        </w:rPr>
        <w:t xml:space="preserve">One do-it-now prompt</w:t>
      </w:r>
    </w:p>
    <w:p>
      <w:r>
        <w:br w:type="page"/>
      </w:r>
    </w:p>
    <w:p>
      <w:pPr>
        <w:pStyle w:val="Heading1"/>
        <w:keepNext/>
        <w:spacing w:after="130" w:before="340"/>
      </w:pPr>
      <w:r>
        <w:rPr>
          <w:rFonts w:ascii="Calibri" w:cs="Calibri" w:eastAsia="Calibri" w:hAnsi="Calibri"/>
          <w:b/>
          <w:bCs/>
          <w:i w:val="false"/>
          <w:iCs w:val="false"/>
          <w:color w:val="0F5C57"/>
          <w:sz w:val="30"/>
          <w:szCs w:val="30"/>
        </w:rPr>
        <w:t xml:space="preserve">3 ·  </w:t>
      </w:r>
      <w:r>
        <w:rPr>
          <w:rFonts w:ascii="Calibri" w:cs="Calibri" w:eastAsia="Calibri" w:hAnsi="Calibri"/>
          <w:b/>
          <w:bCs/>
          <w:i w:val="false"/>
          <w:iCs w:val="false"/>
          <w:color w:val="1A1A1A"/>
          <w:sz w:val="30"/>
          <w:szCs w:val="30"/>
        </w:rPr>
        <w:t xml:space="preserve">Flagship sub-template A — Self-diagnostic / audit tool</w:t>
      </w:r>
    </w:p>
    <w:p>
      <w:pPr>
        <w:spacing w:after="120" w:before="0" w:line="264"/>
      </w:pPr>
      <w:r>
        <w:rPr>
          <w:rFonts w:ascii="Calibri" w:cs="Calibri" w:eastAsia="Calibri" w:hAnsi="Calibri"/>
          <w:b w:val="false"/>
          <w:bCs w:val="false"/>
          <w:i w:val="false"/>
          <w:iCs w:val="false"/>
          <w:color w:val="1A1A1A"/>
          <w:sz w:val="21"/>
          <w:szCs w:val="21"/>
        </w:rPr>
        <w:t xml:space="preserve">For Type 1. Copy this block into a Part 2 draft and fill it. It slots into the </w:t>
      </w:r>
      <w:r>
        <w:rPr>
          <w:rFonts w:ascii="Calibri" w:cs="Calibri" w:eastAsia="Calibri" w:hAnsi="Calibri"/>
          <w:b w:val="false"/>
          <w:bCs w:val="false"/>
          <w:i/>
          <w:iCs/>
          <w:color w:val="1A1A1A"/>
          <w:sz w:val="21"/>
          <w:szCs w:val="21"/>
        </w:rPr>
        <w:t xml:space="preserve">companion resource</w:t>
      </w:r>
      <w:r>
        <w:rPr>
          <w:rFonts w:ascii="Calibri" w:cs="Calibri" w:eastAsia="Calibri" w:hAnsi="Calibri"/>
          <w:b w:val="false"/>
          <w:bCs w:val="false"/>
          <w:i w:val="false"/>
          <w:iCs w:val="false"/>
          <w:color w:val="1A1A1A"/>
          <w:sz w:val="21"/>
          <w:szCs w:val="21"/>
        </w:rPr>
        <w:t xml:space="preserve"> position of the Article Template v2, after Try and before Share.</w:t>
      </w:r>
    </w:p>
    <w:p>
      <w:pPr>
        <w:spacing w:after="120" w:before="0" w:line="264"/>
      </w:pPr>
      <w:r>
        <w:rPr>
          <w:rFonts w:ascii="Calibri" w:cs="Calibri" w:eastAsia="Calibri" w:hAnsi="Calibri"/>
          <w:b w:val="false"/>
          <w:bCs w:val="false"/>
          <w:i/>
          <w:iCs/>
          <w:color w:val="5A5A5A"/>
          <w:sz w:val="20"/>
          <w:szCs w:val="20"/>
        </w:rPr>
        <w:t xml:space="preserve">[Deliver both forms every time: the interactive tool and the linear checklist below it. The linear version is the accessible companion, not an afterthought.]</w:t>
      </w:r>
    </w:p>
    <w:p>
      <w:pPr>
        <w:pStyle w:val="Heading3"/>
        <w:keepNext/>
        <w:spacing w:after="70" w:before="140"/>
      </w:pPr>
      <w:r>
        <w:rPr>
          <w:rFonts w:ascii="Calibri" w:cs="Calibri" w:eastAsia="Calibri" w:hAnsi="Calibri"/>
          <w:b/>
          <w:bCs/>
          <w:i w:val="false"/>
          <w:iCs w:val="false"/>
          <w:color w:val="0F5C57"/>
          <w:sz w:val="21"/>
          <w:szCs w:val="21"/>
        </w:rPr>
        <w:t xml:space="preserve">Frame</w:t>
      </w:r>
    </w:p>
    <w:p>
      <w:pPr>
        <w:spacing w:after="120" w:before="0" w:line="264"/>
      </w:pPr>
      <w:r>
        <w:rPr>
          <w:rFonts w:ascii="Calibri" w:cs="Calibri" w:eastAsia="Calibri" w:hAnsi="Calibri"/>
          <w:b w:val="false"/>
          <w:bCs w:val="false"/>
          <w:i/>
          <w:iCs/>
          <w:color w:val="5A5A5A"/>
          <w:sz w:val="20"/>
          <w:szCs w:val="20"/>
        </w:rPr>
        <w:t xml:space="preserve">[One sentence naming what this tool reveals, and the standard or lens it checks against. e.g. "This scanner reveals where your environment meets the legal floor — and where it meets the floor and still leaves someone outside."]</w:t>
      </w:r>
    </w:p>
    <w:p>
      <w:pPr>
        <w:pStyle w:val="Heading3"/>
        <w:keepNext/>
        <w:spacing w:after="70" w:before="140"/>
      </w:pPr>
      <w:r>
        <w:rPr>
          <w:rFonts w:ascii="Calibri" w:cs="Calibri" w:eastAsia="Calibri" w:hAnsi="Calibri"/>
          <w:b/>
          <w:bCs/>
          <w:i w:val="false"/>
          <w:iCs w:val="false"/>
          <w:color w:val="0F5C57"/>
          <w:sz w:val="21"/>
          <w:szCs w:val="21"/>
        </w:rPr>
        <w:t xml:space="preserve">The criteria (the lens, broken into checkable parts)</w:t>
      </w:r>
    </w:p>
    <w:p>
      <w:pPr>
        <w:spacing w:after="120" w:before="0" w:line="264"/>
      </w:pPr>
      <w:r>
        <w:rPr>
          <w:rFonts w:ascii="Calibri" w:cs="Calibri" w:eastAsia="Calibri" w:hAnsi="Calibri"/>
          <w:b w:val="false"/>
          <w:bCs w:val="false"/>
          <w:i/>
          <w:iCs/>
          <w:color w:val="5A5A5A"/>
          <w:sz w:val="20"/>
          <w:szCs w:val="20"/>
        </w:rPr>
        <w:t xml:space="preserve">[List the small fixed set of things the reader checks — ideally 3–6, drawn straight from the week’s concept. Keep them concrete enough to answer yes/partly/no against real content.]</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Criterion 1 — </w:t>
      </w:r>
      <w:r>
        <w:rPr>
          <w:rFonts w:ascii="Calibri" w:cs="Calibri" w:eastAsia="Calibri" w:hAnsi="Calibri"/>
          <w:b w:val="false"/>
          <w:bCs w:val="false"/>
          <w:i/>
          <w:iCs/>
          <w:color w:val="5A5A5A"/>
          <w:sz w:val="21"/>
          <w:szCs w:val="21"/>
        </w:rPr>
        <w:t xml:space="preserve">[the first checkable part of the lens]</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Criterion 2 — </w:t>
      </w:r>
      <w:r>
        <w:rPr>
          <w:rFonts w:ascii="Calibri" w:cs="Calibri" w:eastAsia="Calibri" w:hAnsi="Calibri"/>
          <w:b w:val="false"/>
          <w:bCs w:val="false"/>
          <w:i/>
          <w:iCs/>
          <w:color w:val="5A5A5A"/>
          <w:sz w:val="21"/>
          <w:szCs w:val="21"/>
        </w:rPr>
        <w:t xml:space="preserve">[…]</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Criterion 3 — </w:t>
      </w:r>
      <w:r>
        <w:rPr>
          <w:rFonts w:ascii="Calibri" w:cs="Calibri" w:eastAsia="Calibri" w:hAnsi="Calibri"/>
          <w:b w:val="false"/>
          <w:bCs w:val="false"/>
          <w:i/>
          <w:iCs/>
          <w:color w:val="5A5A5A"/>
          <w:sz w:val="21"/>
          <w:szCs w:val="21"/>
        </w:rPr>
        <w:t xml:space="preserve">[…]</w:t>
      </w:r>
    </w:p>
    <w:p>
      <w:pPr>
        <w:pStyle w:val="Heading3"/>
        <w:keepNext/>
        <w:spacing w:after="70" w:before="140"/>
      </w:pPr>
      <w:r>
        <w:rPr>
          <w:rFonts w:ascii="Calibri" w:cs="Calibri" w:eastAsia="Calibri" w:hAnsi="Calibri"/>
          <w:b/>
          <w:bCs/>
          <w:i w:val="false"/>
          <w:iCs w:val="false"/>
          <w:color w:val="0F5C57"/>
          <w:sz w:val="21"/>
          <w:szCs w:val="21"/>
        </w:rPr>
        <w:t xml:space="preserve">The two-column structure (the linear form)</w:t>
      </w:r>
    </w:p>
    <w:p>
      <w:pPr>
        <w:spacing w:after="120" w:before="0" w:line="264"/>
      </w:pPr>
      <w:r>
        <w:rPr>
          <w:rFonts w:ascii="Calibri" w:cs="Calibri" w:eastAsia="Calibri" w:hAnsi="Calibri"/>
          <w:b w:val="false"/>
          <w:bCs w:val="false"/>
          <w:i/>
          <w:iCs/>
          <w:color w:val="5A5A5A"/>
          <w:sz w:val="20"/>
          <w:szCs w:val="20"/>
        </w:rPr>
        <w:t xml:space="preserve">[Reproduce this table in the post. The right column is the output — say so explicitly.]</w:t>
      </w:r>
    </w:p>
    <w:tbl>
      <w:tblPr>
        <w:tblW w:type="dxa" w:w="9200"/>
        <w:tblBorders>
          <w:top w:val="single" w:color="C9C9C9" w:sz="4"/>
          <w:left w:val="single" w:color="C9C9C9" w:sz="4"/>
          <w:bottom w:val="single" w:color="C9C9C9" w:sz="4"/>
          <w:right w:val="single" w:color="C9C9C9" w:sz="4"/>
          <w:insideH w:val="single" w:color="C9C9C9" w:sz="4"/>
          <w:insideV w:val="single" w:color="C9C9C9" w:sz="4"/>
        </w:tblBorders>
      </w:tblPr>
      <w:tblGrid>
        <w:gridCol w:w="4600"/>
        <w:gridCol w:w="4600"/>
      </w:tblGrid>
      <w:tr>
        <w:trPr>
          <w:tblHeader/>
        </w:trPr>
        <w:tc>
          <w:tcPr>
            <w:tcW w:type="dxa" w:w="460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Where I meet the standard</w:t>
            </w:r>
          </w:p>
        </w:tc>
        <w:tc>
          <w:tcPr>
            <w:tcW w:type="dxa" w:w="4600"/>
            <w:shd w:fill="F1F5F4"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0F5C57"/>
                <w:sz w:val="19"/>
                <w:szCs w:val="19"/>
              </w:rPr>
              <w:t xml:space="preserve">Where I meet it AND someone is still excluded</w:t>
            </w:r>
          </w:p>
        </w:tc>
      </w:tr>
      <w:tr>
        <w:tc>
          <w:tcPr>
            <w:tcW w:type="dxa" w:w="4600"/>
            <w:tcMar>
              <w:top w:type="dxa" w:w="60"/>
              <w:left w:type="dxa" w:w="90"/>
              <w:bottom w:type="dxa" w:w="60"/>
              <w:right w:type="dxa" w:w="90"/>
            </w:tcMar>
          </w:tcPr>
          <w:p>
            <w:pPr>
              <w:spacing w:after="0" w:line="252"/>
            </w:pPr>
            <w:r>
              <w:rPr>
                <w:rFonts w:ascii="Calibri" w:cs="Calibri" w:eastAsia="Calibri" w:hAnsi="Calibri"/>
                <w:b w:val="false"/>
                <w:bCs w:val="false"/>
                <w:i/>
                <w:iCs/>
                <w:color w:val="5A5A5A"/>
                <w:sz w:val="19"/>
                <w:szCs w:val="19"/>
              </w:rPr>
              <w:t xml:space="preserve">[criterion + the evidence you meet it]</w:t>
            </w:r>
          </w:p>
        </w:tc>
        <w:tc>
          <w:tcPr>
            <w:tcW w:type="dxa" w:w="4600"/>
            <w:tcMar>
              <w:top w:type="dxa" w:w="60"/>
              <w:left w:type="dxa" w:w="90"/>
              <w:bottom w:type="dxa" w:w="60"/>
              <w:right w:type="dxa" w:w="90"/>
            </w:tcMar>
          </w:tcPr>
          <w:p>
            <w:pPr>
              <w:spacing w:after="0" w:line="252"/>
            </w:pPr>
            <w:r>
              <w:rPr>
                <w:rFonts w:ascii="Calibri" w:cs="Calibri" w:eastAsia="Calibri" w:hAnsi="Calibri"/>
                <w:b w:val="false"/>
                <w:bCs w:val="false"/>
                <w:i/>
                <w:iCs/>
                <w:color w:val="5A5A5A"/>
                <w:sz w:val="19"/>
                <w:szCs w:val="19"/>
              </w:rPr>
              <w:t xml:space="preserve">[criterion + who is still left out, and how you know]</w:t>
            </w:r>
          </w:p>
        </w:tc>
      </w:tr>
      <w:tr>
        <w:tc>
          <w:tcPr>
            <w:tcW w:type="dxa" w:w="46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 </w:t>
            </w:r>
          </w:p>
        </w:tc>
        <w:tc>
          <w:tcPr>
            <w:tcW w:type="dxa" w:w="46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 </w:t>
            </w:r>
          </w:p>
        </w:tc>
      </w:tr>
      <w:tr>
        <w:tc>
          <w:tcPr>
            <w:tcW w:type="dxa" w:w="46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 </w:t>
            </w:r>
          </w:p>
        </w:tc>
        <w:tc>
          <w:tcPr>
            <w:tcW w:type="dxa" w:w="46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A1A1A"/>
                <w:sz w:val="19"/>
                <w:szCs w:val="19"/>
              </w:rPr>
              <w:t xml:space="preserve"> </w:t>
            </w:r>
          </w:p>
        </w:tc>
      </w:tr>
    </w:tbl>
    <w:p>
      <w:pPr>
        <w:spacing w:after="120" w:before="0" w:line="264"/>
      </w:pPr>
      <w:r>
        <w:rPr>
          <w:rFonts w:ascii="Calibri" w:cs="Calibri" w:eastAsia="Calibri" w:hAnsi="Calibri"/>
          <w:b/>
          <w:bCs/>
          <w:i w:val="false"/>
          <w:iCs w:val="false"/>
          <w:color w:val="1A1A1A"/>
          <w:sz w:val="21"/>
          <w:szCs w:val="21"/>
        </w:rPr>
        <w:t xml:space="preserve">The right column is the actual output.</w:t>
      </w:r>
      <w:r>
        <w:rPr>
          <w:rFonts w:ascii="Calibri" w:cs="Calibri" w:eastAsia="Calibri" w:hAnsi="Calibri"/>
          <w:b w:val="false"/>
          <w:bCs w:val="false"/>
          <w:i w:val="false"/>
          <w:iCs w:val="false"/>
          <w:color w:val="1A1A1A"/>
          <w:sz w:val="21"/>
          <w:szCs w:val="21"/>
        </w:rPr>
        <w:t xml:space="preserve"> It is the map of everything the standard cannot see — your design space for the rest of the work.</w:t>
      </w:r>
    </w:p>
    <w:p>
      <w:pPr>
        <w:pStyle w:val="Heading3"/>
        <w:keepNext/>
        <w:spacing w:after="70" w:before="140"/>
      </w:pPr>
      <w:r>
        <w:rPr>
          <w:rFonts w:ascii="Calibri" w:cs="Calibri" w:eastAsia="Calibri" w:hAnsi="Calibri"/>
          <w:b/>
          <w:bCs/>
          <w:i w:val="false"/>
          <w:iCs w:val="false"/>
          <w:color w:val="0F5C57"/>
          <w:sz w:val="21"/>
          <w:szCs w:val="21"/>
        </w:rPr>
        <w:t xml:space="preserve">Adapt for your context</w:t>
      </w:r>
    </w:p>
    <w:p>
      <w:pPr>
        <w:spacing w:after="120" w:before="0" w:line="264"/>
      </w:pPr>
      <w:r>
        <w:rPr>
          <w:rFonts w:ascii="Calibri" w:cs="Calibri" w:eastAsia="Calibri" w:hAnsi="Calibri"/>
          <w:b w:val="false"/>
          <w:bCs w:val="false"/>
          <w:i/>
          <w:iCs/>
          <w:color w:val="5A5A5A"/>
          <w:sz w:val="20"/>
          <w:szCs w:val="20"/>
        </w:rPr>
        <w:t xml:space="preserve">[One sentence giving permission to modify the criteria for a different sector, population, or scale.]</w:t>
      </w:r>
    </w:p>
    <w:p>
      <w:pPr>
        <w:pStyle w:val="Heading3"/>
        <w:keepNext/>
        <w:spacing w:after="70" w:before="140"/>
      </w:pPr>
      <w:r>
        <w:rPr>
          <w:rFonts w:ascii="Calibri" w:cs="Calibri" w:eastAsia="Calibri" w:hAnsi="Calibri"/>
          <w:b/>
          <w:bCs/>
          <w:i w:val="false"/>
          <w:iCs w:val="false"/>
          <w:color w:val="0F5C57"/>
          <w:sz w:val="21"/>
          <w:szCs w:val="21"/>
        </w:rPr>
        <w:t xml:space="preserve">Interpretation prompt</w:t>
      </w:r>
    </w:p>
    <w:p>
      <w:pPr>
        <w:spacing w:after="120" w:before="0" w:line="264"/>
      </w:pPr>
      <w:r>
        <w:rPr>
          <w:rFonts w:ascii="Calibri" w:cs="Calibri" w:eastAsia="Calibri" w:hAnsi="Calibri"/>
          <w:b w:val="false"/>
          <w:bCs w:val="false"/>
          <w:i/>
          <w:iCs/>
          <w:color w:val="5A5A5A"/>
          <w:sz w:val="20"/>
          <w:szCs w:val="20"/>
        </w:rPr>
        <w:t xml:space="preserve">[One question that turns the result into a design move. e.g. "Of the exclusions in your right column, which is technical — fixable by a better checklist — and which is structural, fixable only by redesign?"]</w:t>
      </w:r>
    </w:p>
    <w:p>
      <w:pPr>
        <w:pStyle w:val="Heading3"/>
        <w:keepNext/>
        <w:spacing w:after="70" w:before="140"/>
      </w:pPr>
      <w:r>
        <w:rPr>
          <w:rFonts w:ascii="Calibri" w:cs="Calibri" w:eastAsia="Calibri" w:hAnsi="Calibri"/>
          <w:b/>
          <w:bCs/>
          <w:i w:val="false"/>
          <w:iCs w:val="false"/>
          <w:color w:val="0F5C57"/>
          <w:sz w:val="21"/>
          <w:szCs w:val="21"/>
        </w:rPr>
        <w:t xml:space="preserve">Accessibility (ship every time)</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Interactive tool ships with this linear two-column version and, for any visual, alt text / an image description.</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Keyboard-operable and screen-reader-navigable; no colour-only signalling of meet/miss.</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Host the interactive version where you host the Environment Scanner and Inclusive Audit Tool; link both forms.</w:t>
      </w:r>
    </w:p>
    <w:p>
      <w:r>
        <w:br w:type="page"/>
      </w:r>
    </w:p>
    <w:p>
      <w:pPr>
        <w:pStyle w:val="Heading1"/>
        <w:keepNext/>
        <w:spacing w:after="130" w:before="340"/>
      </w:pPr>
      <w:r>
        <w:rPr>
          <w:rFonts w:ascii="Calibri" w:cs="Calibri" w:eastAsia="Calibri" w:hAnsi="Calibri"/>
          <w:b/>
          <w:bCs/>
          <w:i w:val="false"/>
          <w:iCs w:val="false"/>
          <w:color w:val="0F5C57"/>
          <w:sz w:val="30"/>
          <w:szCs w:val="30"/>
        </w:rPr>
        <w:t xml:space="preserve">4 ·  </w:t>
      </w:r>
      <w:r>
        <w:rPr>
          <w:rFonts w:ascii="Calibri" w:cs="Calibri" w:eastAsia="Calibri" w:hAnsi="Calibri"/>
          <w:b/>
          <w:bCs/>
          <w:i w:val="false"/>
          <w:iCs w:val="false"/>
          <w:color w:val="1A1A1A"/>
          <w:sz w:val="30"/>
          <w:szCs w:val="30"/>
        </w:rPr>
        <w:t xml:space="preserve">Flagship sub-template B — Worked example / annotated exemplar</w:t>
      </w:r>
    </w:p>
    <w:p>
      <w:pPr>
        <w:spacing w:after="120" w:before="0" w:line="264"/>
      </w:pPr>
      <w:r>
        <w:rPr>
          <w:rFonts w:ascii="Calibri" w:cs="Calibri" w:eastAsia="Calibri" w:hAnsi="Calibri"/>
          <w:b w:val="false"/>
          <w:bCs w:val="false"/>
          <w:i w:val="false"/>
          <w:iCs w:val="false"/>
          <w:color w:val="1A1A1A"/>
          <w:sz w:val="21"/>
          <w:szCs w:val="21"/>
        </w:rPr>
        <w:t xml:space="preserve">For Type 2. Use it when the week’s move is analytically unfamiliar and a model of "done well" will do more than instructions. It sits in the </w:t>
      </w:r>
      <w:r>
        <w:rPr>
          <w:rFonts w:ascii="Calibri" w:cs="Calibri" w:eastAsia="Calibri" w:hAnsi="Calibri"/>
          <w:b w:val="false"/>
          <w:bCs w:val="false"/>
          <w:i/>
          <w:iCs/>
          <w:color w:val="1A1A1A"/>
          <w:sz w:val="21"/>
          <w:szCs w:val="21"/>
        </w:rPr>
        <w:t xml:space="preserve">companion resource</w:t>
      </w:r>
      <w:r>
        <w:rPr>
          <w:rFonts w:ascii="Calibri" w:cs="Calibri" w:eastAsia="Calibri" w:hAnsi="Calibri"/>
          <w:b w:val="false"/>
          <w:bCs w:val="false"/>
          <w:i w:val="false"/>
          <w:iCs w:val="false"/>
          <w:color w:val="1A1A1A"/>
          <w:sz w:val="21"/>
          <w:szCs w:val="21"/>
        </w:rPr>
        <w:t xml:space="preserve"> slot.</w:t>
      </w:r>
    </w:p>
    <w:p>
      <w:pPr>
        <w:pStyle w:val="Heading3"/>
        <w:keepNext/>
        <w:spacing w:after="70" w:before="140"/>
      </w:pPr>
      <w:r>
        <w:rPr>
          <w:rFonts w:ascii="Calibri" w:cs="Calibri" w:eastAsia="Calibri" w:hAnsi="Calibri"/>
          <w:b/>
          <w:bCs/>
          <w:i w:val="false"/>
          <w:iCs w:val="false"/>
          <w:color w:val="0F5C57"/>
          <w:sz w:val="21"/>
          <w:szCs w:val="21"/>
        </w:rPr>
        <w:t xml:space="preserve">Set-up: the context</w:t>
      </w:r>
    </w:p>
    <w:p>
      <w:pPr>
        <w:spacing w:after="120" w:before="0" w:line="264"/>
      </w:pPr>
      <w:r>
        <w:rPr>
          <w:rFonts w:ascii="Calibri" w:cs="Calibri" w:eastAsia="Calibri" w:hAnsi="Calibri"/>
          <w:b w:val="false"/>
          <w:bCs w:val="false"/>
          <w:i/>
          <w:iCs/>
          <w:color w:val="5A5A5A"/>
          <w:sz w:val="20"/>
          <w:szCs w:val="20"/>
        </w:rPr>
        <w:t xml:space="preserve">[2–3 sentences establishing a realistic scenario the reader can place themselves near. If composite or hypothetical, label it as such here — fact-check gate. If drawn from a real named case, cite it in References.]</w:t>
      </w:r>
    </w:p>
    <w:p>
      <w:pPr>
        <w:pStyle w:val="Heading3"/>
        <w:keepNext/>
        <w:spacing w:after="70" w:before="140"/>
      </w:pPr>
      <w:r>
        <w:rPr>
          <w:rFonts w:ascii="Calibri" w:cs="Calibri" w:eastAsia="Calibri" w:hAnsi="Calibri"/>
          <w:b/>
          <w:bCs/>
          <w:i w:val="false"/>
          <w:iCs w:val="false"/>
          <w:color w:val="0F5C57"/>
          <w:sz w:val="21"/>
          <w:szCs w:val="21"/>
        </w:rPr>
        <w:t xml:space="preserve">The finished artifact (shown whole)</w:t>
      </w:r>
    </w:p>
    <w:p>
      <w:pPr>
        <w:spacing w:after="120" w:before="0" w:line="264"/>
      </w:pPr>
      <w:r>
        <w:rPr>
          <w:rFonts w:ascii="Calibri" w:cs="Calibri" w:eastAsia="Calibri" w:hAnsi="Calibri"/>
          <w:b w:val="false"/>
          <w:bCs w:val="false"/>
          <w:i/>
          <w:iCs/>
          <w:color w:val="5A5A5A"/>
          <w:sz w:val="20"/>
          <w:szCs w:val="20"/>
        </w:rPr>
        <w:t xml:space="preserve">[Reproduce the completed artifact exactly as the reader’s own should look — the coded transcript excerpt, the gap statement, the redesigned session outline. Show it entire before annotating, so the reader sees the destination first.]</w:t>
      </w:r>
    </w:p>
    <w:p>
      <w:pPr>
        <w:pStyle w:val="Heading3"/>
        <w:keepNext/>
        <w:spacing w:after="70" w:before="140"/>
      </w:pPr>
      <w:r>
        <w:rPr>
          <w:rFonts w:ascii="Calibri" w:cs="Calibri" w:eastAsia="Calibri" w:hAnsi="Calibri"/>
          <w:b/>
          <w:bCs/>
          <w:i w:val="false"/>
          <w:iCs w:val="false"/>
          <w:color w:val="0F5C57"/>
          <w:sz w:val="21"/>
          <w:szCs w:val="21"/>
        </w:rPr>
        <w:t xml:space="preserve">The thinking, annotated</w:t>
      </w:r>
    </w:p>
    <w:p>
      <w:pPr>
        <w:spacing w:after="120" w:before="0" w:line="264"/>
      </w:pPr>
      <w:r>
        <w:rPr>
          <w:rFonts w:ascii="Calibri" w:cs="Calibri" w:eastAsia="Calibri" w:hAnsi="Calibri"/>
          <w:b w:val="false"/>
          <w:bCs w:val="false"/>
          <w:i/>
          <w:iCs/>
          <w:color w:val="5A5A5A"/>
          <w:sz w:val="20"/>
          <w:szCs w:val="20"/>
        </w:rPr>
        <w:t xml:space="preserve">[Walk the same artifact again, this time naming the decision behind each move. Not "this section describes the method" but "here I refused the tidier framing because it would have hidden whose exclusion I was tracking." Number the annotations to the artifact above.]</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Move 1 — </w:t>
      </w:r>
      <w:r>
        <w:rPr>
          <w:rFonts w:ascii="Calibri" w:cs="Calibri" w:eastAsia="Calibri" w:hAnsi="Calibri"/>
          <w:b w:val="false"/>
          <w:bCs w:val="false"/>
          <w:i/>
          <w:iCs/>
          <w:color w:val="5A5A5A"/>
          <w:sz w:val="21"/>
          <w:szCs w:val="21"/>
        </w:rPr>
        <w:t xml:space="preserve">[the decision, and why it was made this way and not the obvious way]</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Move 2 — </w:t>
      </w:r>
      <w:r>
        <w:rPr>
          <w:rFonts w:ascii="Calibri" w:cs="Calibri" w:eastAsia="Calibri" w:hAnsi="Calibri"/>
          <w:b w:val="false"/>
          <w:bCs w:val="false"/>
          <w:i/>
          <w:iCs/>
          <w:color w:val="5A5A5A"/>
          <w:sz w:val="21"/>
          <w:szCs w:val="21"/>
        </w:rPr>
        <w:t xml:space="preserve">[…]</w:t>
      </w:r>
    </w:p>
    <w:p>
      <w:pPr>
        <w:pStyle w:val="ListParagraph"/>
        <w:numPr>
          <w:ilvl w:val="0"/>
          <w:numId w:val="2"/>
        </w:numPr>
        <w:spacing w:after="60" w:line="258"/>
      </w:pPr>
      <w:r>
        <w:rPr>
          <w:rFonts w:ascii="Calibri" w:cs="Calibri" w:eastAsia="Calibri" w:hAnsi="Calibri"/>
          <w:b w:val="false"/>
          <w:bCs w:val="false"/>
          <w:i/>
          <w:iCs/>
          <w:color w:val="5A5A5A"/>
          <w:sz w:val="21"/>
          <w:szCs w:val="21"/>
        </w:rPr>
        <w:t xml:space="preserve">Move 3 — </w:t>
      </w:r>
      <w:r>
        <w:rPr>
          <w:rFonts w:ascii="Calibri" w:cs="Calibri" w:eastAsia="Calibri" w:hAnsi="Calibri"/>
          <w:b w:val="false"/>
          <w:bCs w:val="false"/>
          <w:i/>
          <w:iCs/>
          <w:color w:val="5A5A5A"/>
          <w:sz w:val="21"/>
          <w:szCs w:val="21"/>
        </w:rPr>
        <w:t xml:space="preserve">[…]</w:t>
      </w:r>
    </w:p>
    <w:p>
      <w:pPr>
        <w:pStyle w:val="Heading3"/>
        <w:keepNext/>
        <w:spacing w:after="70" w:before="140"/>
      </w:pPr>
      <w:r>
        <w:rPr>
          <w:rFonts w:ascii="Calibri" w:cs="Calibri" w:eastAsia="Calibri" w:hAnsi="Calibri"/>
          <w:b/>
          <w:bCs/>
          <w:i w:val="false"/>
          <w:iCs w:val="false"/>
          <w:color w:val="0F5C57"/>
          <w:sz w:val="21"/>
          <w:szCs w:val="21"/>
        </w:rPr>
        <w:t xml:space="preserve">The common weak version</w:t>
      </w:r>
    </w:p>
    <w:p>
      <w:pPr>
        <w:spacing w:after="120" w:before="0" w:line="264"/>
      </w:pPr>
      <w:r>
        <w:rPr>
          <w:rFonts w:ascii="Calibri" w:cs="Calibri" w:eastAsia="Calibri" w:hAnsi="Calibri"/>
          <w:b w:val="false"/>
          <w:bCs w:val="false"/>
          <w:i/>
          <w:iCs/>
          <w:color w:val="5A5A5A"/>
          <w:sz w:val="20"/>
          <w:szCs w:val="20"/>
        </w:rPr>
        <w:t xml:space="preserve">[Show the plausible-but-flawed version most readers would produce first, and name precisely what is wrong with it — the failure mode the annotations were steering around.]</w:t>
      </w:r>
    </w:p>
    <w:p>
      <w:pPr>
        <w:pStyle w:val="Heading3"/>
        <w:keepNext/>
        <w:spacing w:after="70" w:before="140"/>
      </w:pPr>
      <w:r>
        <w:rPr>
          <w:rFonts w:ascii="Calibri" w:cs="Calibri" w:eastAsia="Calibri" w:hAnsi="Calibri"/>
          <w:b/>
          <w:bCs/>
          <w:i w:val="false"/>
          <w:iCs w:val="false"/>
          <w:color w:val="0F5C57"/>
          <w:sz w:val="21"/>
          <w:szCs w:val="21"/>
        </w:rPr>
        <w:t xml:space="preserve">Now do yours</w:t>
      </w:r>
    </w:p>
    <w:p>
      <w:pPr>
        <w:spacing w:after="120" w:before="0" w:line="264"/>
      </w:pPr>
      <w:r>
        <w:rPr>
          <w:rFonts w:ascii="Calibri" w:cs="Calibri" w:eastAsia="Calibri" w:hAnsi="Calibri"/>
          <w:b w:val="false"/>
          <w:bCs w:val="false"/>
          <w:i/>
          <w:iCs/>
          <w:color w:val="5A5A5A"/>
          <w:sz w:val="20"/>
          <w:szCs w:val="20"/>
        </w:rPr>
        <w:t xml:space="preserve">[One or two sentences handing the move to the reader and pointing back to the Try activity. Keep the register honest, not cheerleading.]</w:t>
      </w:r>
    </w:p>
    <w:p>
      <w:pPr>
        <w:pStyle w:val="Heading3"/>
        <w:keepNext/>
        <w:spacing w:after="70" w:before="140"/>
      </w:pPr>
      <w:r>
        <w:rPr>
          <w:rFonts w:ascii="Calibri" w:cs="Calibri" w:eastAsia="Calibri" w:hAnsi="Calibri"/>
          <w:b/>
          <w:bCs/>
          <w:i w:val="false"/>
          <w:iCs w:val="false"/>
          <w:color w:val="0F5C57"/>
          <w:sz w:val="21"/>
          <w:szCs w:val="21"/>
        </w:rPr>
        <w:t xml:space="preserve">Sourcing</w:t>
      </w:r>
    </w:p>
    <w:p>
      <w:pPr>
        <w:spacing w:after="120" w:before="0" w:line="264"/>
      </w:pPr>
      <w:r>
        <w:rPr>
          <w:rFonts w:ascii="Calibri" w:cs="Calibri" w:eastAsia="Calibri" w:hAnsi="Calibri"/>
          <w:b w:val="false"/>
          <w:bCs w:val="false"/>
          <w:i/>
          <w:iCs/>
          <w:color w:val="5A5A5A"/>
          <w:sz w:val="20"/>
          <w:szCs w:val="20"/>
        </w:rPr>
        <w:t xml:space="preserve">[If any element is real, add the named source to References &amp; further reading, in the verified citation format. If fully composite, note that once, here.]</w:t>
      </w:r>
    </w:p>
    <w:p>
      <w:pPr>
        <w:pBdr>
          <w:top w:val="single" w:color="C9C9C9" w:sz="6" w:space="8"/>
        </w:pBdr>
        <w:spacing w:after="60" w:before="300"/>
      </w:pPr>
      <w:r>
        <w:rPr>
          <w:rFonts w:ascii="Calibri" w:cs="Calibri" w:eastAsia="Calibri" w:hAnsi="Calibri"/>
          <w:b/>
          <w:bCs/>
          <w:i w:val="false"/>
          <w:iCs w:val="false"/>
          <w:color w:val="0F5C57"/>
          <w:sz w:val="21"/>
          <w:szCs w:val="21"/>
        </w:rPr>
        <w:t xml:space="preserve">Building order</w:t>
      </w:r>
    </w:p>
    <w:p>
      <w:pPr>
        <w:spacing w:after="60" w:before="0" w:line="264"/>
      </w:pPr>
      <w:r>
        <w:rPr>
          <w:rFonts w:ascii="Calibri" w:cs="Calibri" w:eastAsia="Calibri" w:hAnsi="Calibri"/>
          <w:b w:val="false"/>
          <w:bCs w:val="false"/>
          <w:i w:val="false"/>
          <w:iCs w:val="false"/>
          <w:color w:val="1A1A1A"/>
          <w:sz w:val="21"/>
          <w:szCs w:val="21"/>
        </w:rPr>
        <w:t xml:space="preserve">Types 1 and 2 are built above because they serve the most weeks and pair naturally. The remaining eight sub-templates follow the same shape — frame, scaffold, worked micro-example, accessibility, interpretation — and can be built in the order the calendar needs them: the Fillable Canvas (Type 3) next, since Weeks 5 and 6 arrive first.</w:t>
      </w:r>
    </w:p>
    <w:p>
      <w:pPr>
        <w:spacing w:after="0" w:before="0" w:line="264"/>
      </w:pPr>
      <w:r>
        <w:rPr>
          <w:rFonts w:ascii="Calibri" w:cs="Calibri" w:eastAsia="Calibri" w:hAnsi="Calibri"/>
          <w:b w:val="false"/>
          <w:bCs w:val="false"/>
          <w:i w:val="false"/>
          <w:iCs w:val="false"/>
          <w:color w:val="5A5A5A"/>
          <w:sz w:val="19"/>
          <w:szCs w:val="19"/>
        </w:rPr>
        <w:t xml:space="preserve">Fieldwork · Accessible Learning Labs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F5C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4"/>
      <w:szCs w:val="24"/>
    </w:rPr>
  </w:style>
  <w:style w:type="paragraph" w:styleId="Heading3">
    <w:name w:val="Heading 3"/>
    <w:basedOn w:val="Normal"/>
    <w:next w:val="Normal"/>
    <w:qFormat/>
    <w:rPr>
      <w:rFonts w:ascii="Calibri" w:cs="Calibri" w:eastAsia="Calibri" w:hAnsi="Calibri"/>
      <w:b/>
      <w:bCs/>
      <w:color w:val="0F5C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2026-07-16T23:08:50.111Z</dcterms:created>
  <dcterms:modified xsi:type="dcterms:W3CDTF">2026-07-16T23:08:50.124Z</dcterms:modified>
</cp:coreProperties>
</file>

<file path=docProps/custom.xml><?xml version="1.0" encoding="utf-8"?>
<Properties xmlns="http://schemas.openxmlformats.org/officeDocument/2006/custom-properties" xmlns:vt="http://schemas.openxmlformats.org/officeDocument/2006/docPropsVTypes"/>
</file>