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Smart Expense Categorizer with Spend Clusters</w:t>
      </w:r>
    </w:p>
    <w:p>
      <w:pPr>
        <w:spacing w:after="240"/>
      </w:pPr>
      <w:r>
        <w:rPr>
          <w:b/>
          <w:bCs/>
        </w:rPr>
        <w:t xml:space="preserve">FML CASE STUDY REPORT</w:t>
      </w:r>
    </w:p>
    <w:p>
      <w:pPr>
        <w:pStyle w:val="Heading1"/>
      </w:pPr>
      <w:r>
        <w:t xml:space="preserve">1. Introduction</w:t>
      </w:r>
    </w:p>
    <w:p>
      <w:pPr>
        <w:spacing w:after="140"/>
      </w:pPr>
      <w:r>
        <w:t xml:space="preserve">Bank and UPI statements are the most complete record most people have of their own spending, yet they are almost unreadable in their raw form. A statement arrives as a flat list of cryptic merchant strings such as UPI/SWIGGY/ORDER482913/YESB, with no notion of category, no distinction between a one-off purchase and a standing commitment, and no summary of where the month actually went. Personal finance applications that do categorise transactions typically rely on fixed lists of known merchants, which fail the moment a new brand, a new payment aggregator or a different bank's export format appears.</w:t>
      </w:r>
    </w:p>
    <w:p>
      <w:pPr>
        <w:spacing w:after="140"/>
      </w:pPr>
      <w:r>
        <w:t xml:space="preserve">This case study examines how machine learning can be applied to turn a raw statement into an interpretable picture of spending. It covers the problem context, the data and methodology used, the models evaluated, the results obtained on unseen merchants, and the practical challenges encountered while building and deploying the system as a working web application.</w:t>
      </w:r>
    </w:p>
    <w:p>
      <w:pPr>
        <w:pStyle w:val="Heading1"/>
      </w:pPr>
      <w:r>
        <w:t xml:space="preserve">2. Background and Motivation</w:t>
      </w:r>
    </w:p>
    <w:p>
      <w:pPr>
        <w:spacing w:after="140"/>
      </w:pPr>
      <w:r>
        <w:t xml:space="preserve">Automated expense categorisation has evolved through several generations of techniques:</w:t>
      </w:r>
    </w:p>
    <w:p>
      <w:pPr>
        <w:pStyle w:val="ListParagraph"/>
        <w:numPr>
          <w:ilvl w:val="0"/>
          <w:numId w:val="2"/>
        </w:numPr>
        <w:spacing w:after="60"/>
      </w:pPr>
      <w:r>
        <w:t xml:space="preserve">Manual tagging: the user assigns a category to every transaction by hand — accurate but unsustainable at hundreds of rows a month.</w:t>
      </w:r>
    </w:p>
    <w:p>
      <w:pPr>
        <w:pStyle w:val="ListParagraph"/>
        <w:numPr>
          <w:ilvl w:val="0"/>
          <w:numId w:val="2"/>
        </w:numPr>
        <w:spacing w:after="60"/>
      </w:pPr>
      <w:r>
        <w:t xml:space="preserve">Merchant lookup tables: a fixed dictionary maps known merchant names to categories; unknown or misspelled merchants fall through entirely.</w:t>
      </w:r>
    </w:p>
    <w:p>
      <w:pPr>
        <w:pStyle w:val="ListParagraph"/>
        <w:numPr>
          <w:ilvl w:val="0"/>
          <w:numId w:val="2"/>
        </w:numPr>
        <w:spacing w:after="60"/>
      </w:pPr>
      <w:r>
        <w:t xml:space="preserve">Rule and keyword filtering: regular expressions over the description string, which break on the reference numbers, bank codes and aggregator prefixes that fill real statements.</w:t>
      </w:r>
    </w:p>
    <w:p>
      <w:pPr>
        <w:pStyle w:val="ListParagraph"/>
        <w:numPr>
          <w:ilvl w:val="0"/>
          <w:numId w:val="2"/>
        </w:numPr>
        <w:spacing w:after="60"/>
      </w:pPr>
      <w:r>
        <w:t xml:space="preserve">Machine learning over transaction text: a classifier learns the association between description text and category from labelled data, generalising to merchants it has never seen.</w:t>
      </w:r>
    </w:p>
    <w:p>
      <w:pPr>
        <w:pStyle w:val="ListParagraph"/>
        <w:numPr>
          <w:ilvl w:val="0"/>
          <w:numId w:val="2"/>
        </w:numPr>
        <w:spacing w:after="60"/>
      </w:pPr>
      <w:r>
        <w:t xml:space="preserve">Unsupervised behavioural grouping: clustering over amount, timing and recurrence reveals spending patterns that no category label captures.</w:t>
      </w:r>
    </w:p>
    <w:p>
      <w:pPr>
        <w:spacing w:after="140"/>
      </w:pPr>
      <w:r>
        <w:t xml:space="preserve">Because merchant strings differ from bank to bank and new brands appear constantly, a learned model offers the decisive advantage: it generalises from the shape of the text rather than from a list that must be maintained. This motivated the move from a lookup-and-rules prototype to a machine learning pipeline combining supervised classification with unsupervised clustering.</w:t>
      </w:r>
    </w:p>
    <w:p>
      <w:pPr>
        <w:pStyle w:val="Heading1"/>
      </w:pPr>
      <w:r>
        <w:t xml:space="preserve">3. Problem Statement</w:t>
      </w:r>
    </w:p>
    <w:p>
      <w:pPr>
        <w:spacing w:after="140"/>
      </w:pPr>
      <w:r>
        <w:t xml:space="preserve">The existing rule-based prototype could only label merchants that already appeared in its lookup table. Any unfamiliar brand, any variation in spelling and any change of statement format produced an unlabelled or wrongly labelled row, and the system gave no indication of which of its answers were unreliable. It also treated a monthly rent payment and a single restaurant bill identically, so the user could not see which part of their spending was fixed and which was discretionary.</w:t>
      </w:r>
    </w:p>
    <w:p>
      <w:pPr>
        <w:spacing w:after="140"/>
      </w:pPr>
      <w:r>
        <w:t xml:space="preserve">The goal of this case study was to design, train and evaluate a system that classifies every transaction in a statement into one of eight spending categories, identifies the payments that recur on a schedule, groups the remainder into interpretable behavioural patterns, and flags its own low-confidence predictions for human review — while remaining fast enough to run inside a serverless function on upload.</w:t>
      </w:r>
    </w:p>
    <w:p>
      <w:pPr>
        <w:pStyle w:val="Heading1"/>
      </w:pPr>
      <w:r>
        <w:t xml:space="preserve">4. Objectives</w:t>
      </w:r>
    </w:p>
    <w:p>
      <w:pPr>
        <w:pStyle w:val="ListParagraph"/>
        <w:numPr>
          <w:ilvl w:val="0"/>
          <w:numId w:val="2"/>
        </w:numPr>
        <w:spacing w:after="60"/>
      </w:pPr>
      <w:r>
        <w:t xml:space="preserve">Build a representative labelled dataset of transaction descriptions spanning multiple statement formats.</w:t>
      </w:r>
    </w:p>
    <w:p>
      <w:pPr>
        <w:pStyle w:val="ListParagraph"/>
        <w:numPr>
          <w:ilvl w:val="0"/>
          <w:numId w:val="2"/>
        </w:numPr>
        <w:spacing w:after="60"/>
      </w:pPr>
      <w:r>
        <w:t xml:space="preserve">Engineer features that survive the reference numbers, bank codes and spelling drift found in real statements.</w:t>
      </w:r>
    </w:p>
    <w:p>
      <w:pPr>
        <w:pStyle w:val="ListParagraph"/>
        <w:numPr>
          <w:ilvl w:val="0"/>
          <w:numId w:val="2"/>
        </w:numPr>
        <w:spacing w:after="60"/>
      </w:pPr>
      <w:r>
        <w:t xml:space="preserve">Train and compare multiple classifiers, and evaluate them in a way that does not flatter the result.</w:t>
      </w:r>
    </w:p>
    <w:p>
      <w:pPr>
        <w:pStyle w:val="ListParagraph"/>
        <w:numPr>
          <w:ilvl w:val="0"/>
          <w:numId w:val="2"/>
        </w:numPr>
        <w:spacing w:after="60"/>
      </w:pPr>
      <w:r>
        <w:t xml:space="preserve">Detect recurring payments and cluster the remaining transactions into named spending patterns.</w:t>
      </w:r>
    </w:p>
    <w:p>
      <w:pPr>
        <w:pStyle w:val="ListParagraph"/>
        <w:numPr>
          <w:ilvl w:val="0"/>
          <w:numId w:val="2"/>
        </w:numPr>
        <w:spacing w:after="60"/>
      </w:pPr>
      <w:r>
        <w:t xml:space="preserve">Surface uncertainty to the user and learn from the corrections they make.</w:t>
      </w:r>
    </w:p>
    <w:p>
      <w:pPr>
        <w:pStyle w:val="ListParagraph"/>
        <w:numPr>
          <w:ilvl w:val="0"/>
          <w:numId w:val="2"/>
        </w:numPr>
        <w:spacing w:after="60"/>
      </w:pPr>
      <w:r>
        <w:t xml:space="preserve">Deploy the model behind a web interface that analyses an uploaded statement end to end.</w:t>
      </w:r>
    </w:p>
    <w:p>
      <w:pPr>
        <w:pStyle w:val="Heading1"/>
      </w:pPr>
      <w:r>
        <w:t xml:space="preserve">5. Methodology</w:t>
      </w:r>
    </w:p>
    <w:p>
      <w:pPr>
        <w:pStyle w:val="Heading2"/>
      </w:pPr>
      <w:r>
        <w:t xml:space="preserve">5.1 Dataset</w:t>
      </w:r>
    </w:p>
    <w:p>
      <w:pPr>
        <w:spacing w:after="140"/>
      </w:pPr>
      <w:r>
        <w:t xml:space="preserve">The study used a synthetic but deliberately realistic dataset of approximately 1,400 labelled transactions generated by a deterministic script, covering eight categories — food, travel, shopping, entertainment, health, bills, rent and other. Real brand names are combined with random amounts, dates, reference numbers and several different statement formats, and each row carries a merchant identifier alongside its category. A separate six-month, 204-transaction holdout statement with a full answer key was generated for evaluation only, deliberately using brands the model never sees during training.</w:t>
      </w:r>
    </w:p>
    <w:p>
      <w:pPr>
        <w:spacing w:after="140"/>
      </w:pPr>
      <w:r>
        <w:t xml:space="preserve">Using synthetic data is an explicit limitation, and it is stated plainly rather than hidden: the reported figures measure how well the model handles brands and formats it has not seen, not how it will perform on one particular bank's export.</w:t>
      </w:r>
    </w:p>
    <w:p>
      <w:pPr>
        <w:pStyle w:val="Heading2"/>
      </w:pPr>
      <w:r>
        <w:t xml:space="preserve">5.2 Data Preprocessing</w:t>
      </w:r>
    </w:p>
    <w:p>
      <w:pPr>
        <w:pStyle w:val="ListParagraph"/>
        <w:numPr>
          <w:ilvl w:val="0"/>
          <w:numId w:val="2"/>
        </w:numPr>
        <w:spacing w:after="60"/>
      </w:pPr>
      <w:r>
        <w:t xml:space="preserve">Lowercasing of all description text.</w:t>
      </w:r>
    </w:p>
    <w:p>
      <w:pPr>
        <w:pStyle w:val="ListParagraph"/>
        <w:numPr>
          <w:ilvl w:val="0"/>
          <w:numId w:val="2"/>
        </w:numPr>
        <w:spacing w:after="60"/>
      </w:pPr>
      <w:r>
        <w:t xml:space="preserve">Removal of long digit runs, so UPI/SWIGGY/ORDER482913 reduces to upi swiggy order and reference numbers stop inflating the vocabulary.</w:t>
      </w:r>
    </w:p>
    <w:p>
      <w:pPr>
        <w:pStyle w:val="ListParagraph"/>
        <w:numPr>
          <w:ilvl w:val="0"/>
          <w:numId w:val="2"/>
        </w:numPr>
        <w:spacing w:after="60"/>
      </w:pPr>
      <w:r>
        <w:t xml:space="preserve">Stripping of non-alphabetic characters and whitespace normalisation.</w:t>
      </w:r>
    </w:p>
    <w:p>
      <w:pPr>
        <w:pStyle w:val="ListParagraph"/>
        <w:numPr>
          <w:ilvl w:val="0"/>
          <w:numId w:val="2"/>
        </w:numPr>
        <w:spacing w:after="60"/>
      </w:pPr>
      <w:r>
        <w:t xml:space="preserve">Day-first date parsing with automatic fallback, since Indian statements use DD/MM/YYYY and a naive parser silently swaps day and month.</w:t>
      </w:r>
    </w:p>
    <w:p>
      <w:pPr>
        <w:pStyle w:val="ListParagraph"/>
        <w:numPr>
          <w:ilvl w:val="0"/>
          <w:numId w:val="2"/>
        </w:numPr>
        <w:spacing w:after="60"/>
      </w:pPr>
      <w:r>
        <w:t xml:space="preserve">Merchant identity resolution: payment-method and city tokens (upi, pos, neft, hdfc, mumbai, and similar) are dropped so that UPI/NETFLIX/... and POS NETFLIX MUMBAI resolve to the same merchant.</w:t>
      </w:r>
    </w:p>
    <w:p>
      <w:pPr>
        <w:pStyle w:val="Heading2"/>
      </w:pPr>
      <w:r>
        <w:t xml:space="preserve">5.3 Feature Engineering</w:t>
      </w:r>
    </w:p>
    <w:p>
      <w:pPr>
        <w:pStyle w:val="ListParagraph"/>
        <w:numPr>
          <w:ilvl w:val="0"/>
          <w:numId w:val="2"/>
        </w:numPr>
        <w:spacing w:after="60"/>
      </w:pPr>
      <w:r>
        <w:t xml:space="preserve">TF-IDF over word 1–2 grams, which carry the merchant name and any descriptor word.</w:t>
      </w:r>
    </w:p>
    <w:p>
      <w:pPr>
        <w:pStyle w:val="ListParagraph"/>
        <w:numPr>
          <w:ilvl w:val="0"/>
          <w:numId w:val="2"/>
        </w:numPr>
        <w:spacing w:after="60"/>
      </w:pPr>
      <w:r>
        <w:t xml:space="preserve">TF-IDF over character 2–5 grams, which catch spelling drift such as NETFLIX COM or PG*ZOMATO*, combined with the word features as a feature union.</w:t>
      </w:r>
    </w:p>
    <w:p>
      <w:pPr>
        <w:pStyle w:val="ListParagraph"/>
        <w:numPr>
          <w:ilvl w:val="0"/>
          <w:numId w:val="2"/>
        </w:numPr>
        <w:spacing w:after="60"/>
      </w:pPr>
      <w:r>
        <w:t xml:space="preserve">Descriptor augmentation: invented brand names are paired with generic words such as PHARMACY or PETROL PUMP during training, so an unfamiliar brand carrying a telling word still lands in the right category.</w:t>
      </w:r>
    </w:p>
    <w:p>
      <w:pPr>
        <w:pStyle w:val="ListParagraph"/>
        <w:numPr>
          <w:ilvl w:val="0"/>
          <w:numId w:val="2"/>
        </w:numPr>
        <w:spacing w:after="60"/>
      </w:pPr>
      <w:r>
        <w:t xml:space="preserve">Behavioural features for clustering: log amount, a weekend flag, a circular day-of-month pair, an hour bucket and a recurring flag, all standard-scaled.</w:t>
      </w:r>
    </w:p>
    <w:p>
      <w:pPr>
        <w:pStyle w:val="Heading1"/>
      </w:pPr>
      <w:r>
        <w:t xml:space="preserve">6. Models Evaluated</w:t>
      </w:r>
    </w:p>
    <w:p>
      <w:pPr>
        <w:spacing w:after="140"/>
      </w:pPr>
      <w:r>
        <w:t xml:space="preserve">Three text classifiers were trained and compared, and were ultimately combined rather than chosen between; a separate clustering algorithm handles the unsupervised half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EFEFEF" w:val="clear"/>
          </w:tcPr>
          <w:p>
            <w:pPr>
              <w:spacing w:after="40" w:before="40"/>
            </w:pPr>
            <w:r>
              <w:rPr>
                <w:b/>
                <w:bCs/>
              </w:rPr>
              <w:t xml:space="preserve">Model</w:t>
            </w:r>
          </w:p>
        </w:tc>
        <w:tc>
          <w:tcPr>
            <w:tcW w:type="dxa" w:w="3480"/>
            <w:shd w:fill="EFEFEF" w:val="clear"/>
          </w:tcPr>
          <w:p>
            <w:pPr>
              <w:spacing w:after="40" w:before="40"/>
            </w:pPr>
            <w:r>
              <w:rPr>
                <w:b/>
                <w:bCs/>
              </w:rPr>
              <w:t xml:space="preserve">Key Strength</w:t>
            </w:r>
          </w:p>
        </w:tc>
        <w:tc>
          <w:tcPr>
            <w:tcW w:type="dxa" w:w="3480"/>
            <w:shd w:fill="EFEFEF" w:val="clear"/>
          </w:tcPr>
          <w:p>
            <w:pPr>
              <w:spacing w:after="40" w:before="40"/>
            </w:pPr>
            <w:r>
              <w:rPr>
                <w:b/>
                <w:bCs/>
              </w:rPr>
              <w:t xml:space="preserve">Key Limitation</w:t>
            </w:r>
          </w:p>
        </w:tc>
      </w:tr>
      <w:tr>
        <w:trPr>
          <w:tblHeader w:val="false"/>
        </w:trPr>
        <w:tc>
          <w:tcPr>
            <w:tcW w:type="dxa" w:w="2400"/>
          </w:tcPr>
          <w:p>
            <w:pPr>
              <w:spacing w:after="40" w:before="40"/>
            </w:pPr>
            <w:r>
              <w:rPr>
                <w:b w:val="false"/>
                <w:bCs w:val="false"/>
              </w:rPr>
              <w:t xml:space="preserve">Logistic Regression</w:t>
            </w:r>
          </w:p>
        </w:tc>
        <w:tc>
          <w:tcPr>
            <w:tcW w:type="dxa" w:w="3480"/>
          </w:tcPr>
          <w:p>
            <w:pPr>
              <w:spacing w:after="40" w:before="40"/>
            </w:pPr>
            <w:r>
              <w:rPr>
                <w:b w:val="false"/>
                <w:bCs w:val="false"/>
              </w:rPr>
              <w:t xml:space="preserve">Interpretable, well-calibrated probabilities</w:t>
            </w:r>
          </w:p>
        </w:tc>
        <w:tc>
          <w:tcPr>
            <w:tcW w:type="dxa" w:w="3480"/>
          </w:tcPr>
          <w:p>
            <w:pPr>
              <w:spacing w:after="40" w:before="40"/>
            </w:pPr>
            <w:r>
              <w:rPr>
                <w:b w:val="false"/>
                <w:bCs w:val="false"/>
              </w:rPr>
              <w:t xml:space="preserve">Limited with non-linear patterns</w:t>
            </w:r>
          </w:p>
        </w:tc>
      </w:tr>
      <w:tr>
        <w:trPr>
          <w:tblHeader w:val="false"/>
        </w:trPr>
        <w:tc>
          <w:tcPr>
            <w:tcW w:type="dxa" w:w="2400"/>
          </w:tcPr>
          <w:p>
            <w:pPr>
              <w:spacing w:after="40" w:before="40"/>
            </w:pPr>
            <w:r>
              <w:rPr>
                <w:b w:val="false"/>
                <w:bCs w:val="false"/>
              </w:rPr>
              <w:t xml:space="preserve">ComplementNB</w:t>
            </w:r>
          </w:p>
        </w:tc>
        <w:tc>
          <w:tcPr>
            <w:tcW w:type="dxa" w:w="3480"/>
          </w:tcPr>
          <w:p>
            <w:pPr>
              <w:spacing w:after="40" w:before="40"/>
            </w:pPr>
            <w:r>
              <w:rPr>
                <w:b w:val="false"/>
                <w:bCs w:val="false"/>
              </w:rPr>
              <w:t xml:space="preserve">Fast, strong on sparse imbalanced text</w:t>
            </w:r>
          </w:p>
        </w:tc>
        <w:tc>
          <w:tcPr>
            <w:tcW w:type="dxa" w:w="3480"/>
          </w:tcPr>
          <w:p>
            <w:pPr>
              <w:spacing w:after="40" w:before="40"/>
            </w:pPr>
            <w:r>
              <w:rPr>
                <w:b w:val="false"/>
                <w:bCs w:val="false"/>
              </w:rPr>
              <w:t xml:space="preserve">Assumes feature independence</w:t>
            </w:r>
          </w:p>
        </w:tc>
      </w:tr>
      <w:tr>
        <w:trPr>
          <w:tblHeader w:val="false"/>
        </w:trPr>
        <w:tc>
          <w:tcPr>
            <w:tcW w:type="dxa" w:w="2400"/>
          </w:tcPr>
          <w:p>
            <w:pPr>
              <w:spacing w:after="40" w:before="40"/>
            </w:pPr>
            <w:r>
              <w:rPr>
                <w:b w:val="false"/>
                <w:bCs w:val="false"/>
              </w:rPr>
              <w:t xml:space="preserve">Calibrated Linear SVM</w:t>
            </w:r>
          </w:p>
        </w:tc>
        <w:tc>
          <w:tcPr>
            <w:tcW w:type="dxa" w:w="3480"/>
          </w:tcPr>
          <w:p>
            <w:pPr>
              <w:spacing w:after="40" w:before="40"/>
            </w:pPr>
            <w:r>
              <w:rPr>
                <w:b w:val="false"/>
                <w:bCs w:val="false"/>
              </w:rPr>
              <w:t xml:space="preserve">Strong on high-dimensional sparse features</w:t>
            </w:r>
          </w:p>
        </w:tc>
        <w:tc>
          <w:tcPr>
            <w:tcW w:type="dxa" w:w="3480"/>
          </w:tcPr>
          <w:p>
            <w:pPr>
              <w:spacing w:after="40" w:before="40"/>
            </w:pPr>
            <w:r>
              <w:rPr>
                <w:b w:val="false"/>
                <w:bCs w:val="false"/>
              </w:rPr>
              <w:t xml:space="preserve">Needs calibration to yield probabilities</w:t>
            </w:r>
          </w:p>
        </w:tc>
      </w:tr>
      <w:tr>
        <w:trPr>
          <w:tblHeader w:val="false"/>
        </w:trPr>
        <w:tc>
          <w:tcPr>
            <w:tcW w:type="dxa" w:w="2400"/>
          </w:tcPr>
          <w:p>
            <w:pPr>
              <w:spacing w:after="40" w:before="40"/>
            </w:pPr>
            <w:r>
              <w:rPr>
                <w:b w:val="false"/>
                <w:bCs w:val="false"/>
              </w:rPr>
              <w:t xml:space="preserve">Soft-voting ensemble (adopted)</w:t>
            </w:r>
          </w:p>
        </w:tc>
        <w:tc>
          <w:tcPr>
            <w:tcW w:type="dxa" w:w="3480"/>
          </w:tcPr>
          <w:p>
            <w:pPr>
              <w:spacing w:after="40" w:before="40"/>
            </w:pPr>
            <w:r>
              <w:rPr>
                <w:b w:val="false"/>
                <w:bCs w:val="false"/>
              </w:rPr>
              <w:t xml:space="preserve">Averages three views; probability doubles as a confidence score</w:t>
            </w:r>
          </w:p>
        </w:tc>
        <w:tc>
          <w:tcPr>
            <w:tcW w:type="dxa" w:w="3480"/>
          </w:tcPr>
          <w:p>
            <w:pPr>
              <w:spacing w:after="40" w:before="40"/>
            </w:pPr>
            <w:r>
              <w:rPr>
                <w:b w:val="false"/>
                <w:bCs w:val="false"/>
              </w:rPr>
              <w:t xml:space="preserve">Three models to train and hold in memory</w:t>
            </w:r>
          </w:p>
        </w:tc>
      </w:tr>
      <w:tr>
        <w:trPr>
          <w:tblHeader w:val="false"/>
        </w:trPr>
        <w:tc>
          <w:tcPr>
            <w:tcW w:type="dxa" w:w="2400"/>
          </w:tcPr>
          <w:p>
            <w:pPr>
              <w:spacing w:after="40" w:before="40"/>
            </w:pPr>
            <w:r>
              <w:rPr>
                <w:b w:val="false"/>
                <w:bCs w:val="false"/>
              </w:rPr>
              <w:t xml:space="preserve">K-Means (unsupervised)</w:t>
            </w:r>
          </w:p>
        </w:tc>
        <w:tc>
          <w:tcPr>
            <w:tcW w:type="dxa" w:w="3480"/>
          </w:tcPr>
          <w:p>
            <w:pPr>
              <w:spacing w:after="40" w:before="40"/>
            </w:pPr>
            <w:r>
              <w:rPr>
                <w:b w:val="false"/>
                <w:bCs w:val="false"/>
              </w:rPr>
              <w:t xml:space="preserve">Groups spending behaviour without labels</w:t>
            </w:r>
          </w:p>
        </w:tc>
        <w:tc>
          <w:tcPr>
            <w:tcW w:type="dxa" w:w="3480"/>
          </w:tcPr>
          <w:p>
            <w:pPr>
              <w:spacing w:after="40" w:before="40"/>
            </w:pPr>
            <w:r>
              <w:rPr>
                <w:b w:val="false"/>
                <w:bCs w:val="false"/>
              </w:rPr>
              <w:t xml:space="preserve">k must be chosen; clusters need naming</w:t>
            </w:r>
          </w:p>
        </w:tc>
      </w:tr>
    </w:tbl>
    <w:p/>
    <w:p>
      <w:pPr>
        <w:pStyle w:val="Heading1"/>
      </w:pPr>
      <w:r>
        <w:t xml:space="preserve">7. Implementation Workflow</w:t>
      </w:r>
    </w:p>
    <w:p>
      <w:pPr>
        <w:spacing w:after="140"/>
      </w:pPr>
      <w:r>
        <w:t xml:space="preserve">The end-to-end pipeline moves from an uploaded CSV to a rendered analysis in a structured, repeatable sequence:</w:t>
      </w:r>
    </w:p>
    <w:p>
      <w:pPr>
        <w:pStyle w:val="ListParagraph"/>
        <w:numPr>
          <w:ilvl w:val="0"/>
          <w:numId w:val="2"/>
        </w:numPr>
        <w:spacing w:after="60"/>
      </w:pPr>
      <w:r>
        <w:t xml:space="preserve">CSV ingestion and validation, with readable errors for missing columns, empty files and non-numeric amounts reported at their line number.</w:t>
      </w:r>
    </w:p>
    <w:p>
      <w:pPr>
        <w:pStyle w:val="ListParagraph"/>
        <w:numPr>
          <w:ilvl w:val="0"/>
          <w:numId w:val="2"/>
        </w:numPr>
        <w:spacing w:after="60"/>
      </w:pPr>
      <w:r>
        <w:t xml:space="preserve">Cleaning and feature extraction through the shared TF-IDF word and character feature union.</w:t>
      </w:r>
    </w:p>
    <w:p>
      <w:pPr>
        <w:pStyle w:val="ListParagraph"/>
        <w:numPr>
          <w:ilvl w:val="0"/>
          <w:numId w:val="2"/>
        </w:numPr>
        <w:spacing w:after="60"/>
      </w:pPr>
      <w:r>
        <w:t xml:space="preserve">Classification by the soft-voting ensemble; predictions below a confidence of 0.5 are flagged for human review rather than presented as fact.</w:t>
      </w:r>
    </w:p>
    <w:p>
      <w:pPr>
        <w:pStyle w:val="ListParagraph"/>
        <w:numPr>
          <w:ilvl w:val="0"/>
          <w:numId w:val="2"/>
        </w:numPr>
        <w:spacing w:after="60"/>
      </w:pPr>
      <w:r>
        <w:t xml:space="preserve">Recurring-payment detection over merchant identity, payment gaps and amount stability.</w:t>
      </w:r>
    </w:p>
    <w:p>
      <w:pPr>
        <w:pStyle w:val="ListParagraph"/>
        <w:numPr>
          <w:ilvl w:val="0"/>
          <w:numId w:val="2"/>
        </w:numPr>
        <w:spacing w:after="60"/>
      </w:pPr>
      <w:r>
        <w:t xml:space="preserve">K-Means clustering of the remaining behaviour features, with k selected by silhouette score between three and six and capped at roughly one pattern per ten transactions.</w:t>
      </w:r>
    </w:p>
    <w:p>
      <w:pPr>
        <w:pStyle w:val="ListParagraph"/>
        <w:numPr>
          <w:ilvl w:val="0"/>
          <w:numId w:val="2"/>
        </w:numPr>
        <w:spacing w:after="60"/>
      </w:pPr>
      <w:r>
        <w:t xml:space="preserve">Cluster naming from each cluster's own statistics, with duplicate names disambiguated by dominant category.</w:t>
      </w:r>
    </w:p>
    <w:p>
      <w:pPr>
        <w:pStyle w:val="ListParagraph"/>
        <w:numPr>
          <w:ilvl w:val="0"/>
          <w:numId w:val="2"/>
        </w:numPr>
        <w:spacing w:after="60"/>
      </w:pPr>
      <w:r>
        <w:t xml:space="preserve">Correction feedback: a category the user changes is appended to the training set and the model is refit, so similar merchants update as well.</w:t>
      </w:r>
    </w:p>
    <w:p>
      <w:pPr>
        <w:spacing w:after="140"/>
      </w:pPr>
      <w:r>
        <w:t xml:space="preserve">Each stage is modularised so that preprocessing, classification and clustering can be changed independently, and the same model code in src/ is shared by both front ends without duplication.</w:t>
      </w:r>
    </w:p>
    <w:p>
      <w:pPr>
        <w:pStyle w:val="Heading2"/>
      </w:pPr>
      <w:r>
        <w:t xml:space="preserve">7.1 Tools and Technologies Used</w:t>
      </w:r>
    </w:p>
    <w:p>
      <w:pPr>
        <w:pStyle w:val="ListParagraph"/>
        <w:numPr>
          <w:ilvl w:val="0"/>
          <w:numId w:val="2"/>
        </w:numPr>
        <w:spacing w:after="60"/>
      </w:pPr>
      <w:r>
        <w:t xml:space="preserve">Python 3 as the core language for the model and data pipeline.</w:t>
      </w:r>
    </w:p>
    <w:p>
      <w:pPr>
        <w:pStyle w:val="ListParagraph"/>
        <w:numPr>
          <w:ilvl w:val="0"/>
          <w:numId w:val="2"/>
        </w:numPr>
        <w:spacing w:after="60"/>
      </w:pPr>
      <w:r>
        <w:t xml:space="preserve">scikit-learn for the TF-IDF features, the voting ensemble, grouped cross-validation and K-Means.</w:t>
      </w:r>
    </w:p>
    <w:p>
      <w:pPr>
        <w:pStyle w:val="ListParagraph"/>
        <w:numPr>
          <w:ilvl w:val="0"/>
          <w:numId w:val="2"/>
        </w:numPr>
        <w:spacing w:after="60"/>
      </w:pPr>
      <w:r>
        <w:t xml:space="preserve">pandas and NumPy for statement parsing and numerical processing.</w:t>
      </w:r>
    </w:p>
    <w:p>
      <w:pPr>
        <w:pStyle w:val="ListParagraph"/>
        <w:numPr>
          <w:ilvl w:val="0"/>
          <w:numId w:val="2"/>
        </w:numPr>
        <w:spacing w:after="60"/>
      </w:pPr>
      <w:r>
        <w:t xml:space="preserve">FastAPI for the POST /api/analyze serverless function, which fits the classifier in about half a second and caches it for warm instances.</w:t>
      </w:r>
    </w:p>
    <w:p>
      <w:pPr>
        <w:pStyle w:val="ListParagraph"/>
        <w:numPr>
          <w:ilvl w:val="0"/>
          <w:numId w:val="2"/>
        </w:numPr>
        <w:spacing w:after="60"/>
      </w:pPr>
      <w:r>
        <w:t xml:space="preserve">Next.js 16, React 19, TypeScript and Tailwind CSS 4 for the web interface, deployed on Vercel.</w:t>
      </w:r>
    </w:p>
    <w:p>
      <w:pPr>
        <w:pStyle w:val="ListParagraph"/>
        <w:numPr>
          <w:ilvl w:val="0"/>
          <w:numId w:val="2"/>
        </w:numPr>
        <w:spacing w:after="60"/>
      </w:pPr>
      <w:r>
        <w:t xml:space="preserve">Streamlit for a second front end that runs the whole system locally in Python.</w:t>
      </w:r>
    </w:p>
    <w:p>
      <w:pPr>
        <w:pStyle w:val="ListParagraph"/>
        <w:numPr>
          <w:ilvl w:val="0"/>
          <w:numId w:val="2"/>
        </w:numPr>
        <w:spacing w:after="60"/>
      </w:pPr>
      <w:r>
        <w:t xml:space="preserve">pytest for the test suite covering the model, the clustering and the API.</w:t>
      </w:r>
    </w:p>
    <w:p>
      <w:pPr>
        <w:spacing w:after="140"/>
      </w:pPr>
      <w:r>
        <w:t xml:space="preserve">This toolset was chosen for maturity and for the ease with which a scikit-learn pipeline can be served from a serverless function, allowing the prototype to reach a live deployment with minimal additional engineering effort.</w:t>
      </w:r>
    </w:p>
    <w:p>
      <w:pPr>
        <w:pStyle w:val="Heading1"/>
      </w:pPr>
      <w:r>
        <w:t xml:space="preserve">8. Results</w:t>
      </w:r>
    </w:p>
    <w:p>
      <w:pPr>
        <w:spacing w:after="140"/>
      </w:pPr>
      <w:r>
        <w:t xml:space="preserve">The table below summarises performance on the held-out statement and under merchant-grouped cross-validation. The baseline is the earlier TF-IDF and Naive Bayes model trained on the original 252-row seed set, which had no other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100"/>
        <w:gridCol w:w="3460"/>
      </w:tblGrid>
      <w:tr>
        <w:trPr>
          <w:tblHeader/>
        </w:trPr>
        <w:tc>
          <w:tcPr>
            <w:tcW w:type="dxa" w:w="3800"/>
            <w:shd w:fill="EFEFEF" w:val="clear"/>
          </w:tcPr>
          <w:p>
            <w:pPr>
              <w:spacing w:after="40" w:before="40"/>
            </w:pPr>
            <w:r>
              <w:rPr>
                <w:b/>
                <w:bCs/>
              </w:rPr>
              <w:t xml:space="preserve">Measure</w:t>
            </w:r>
          </w:p>
        </w:tc>
        <w:tc>
          <w:tcPr>
            <w:tcW w:type="dxa" w:w="2100"/>
            <w:shd w:fill="EFEFEF" w:val="clear"/>
          </w:tcPr>
          <w:p>
            <w:pPr>
              <w:spacing w:after="40" w:before="40"/>
            </w:pPr>
            <w:r>
              <w:rPr>
                <w:b/>
                <w:bCs/>
              </w:rPr>
              <w:t xml:space="preserve">Baseline</w:t>
            </w:r>
          </w:p>
        </w:tc>
        <w:tc>
          <w:tcPr>
            <w:tcW w:type="dxa" w:w="3460"/>
            <w:shd w:fill="EFEFEF" w:val="clear"/>
          </w:tcPr>
          <w:p>
            <w:pPr>
              <w:spacing w:after="40" w:before="40"/>
            </w:pPr>
            <w:r>
              <w:rPr>
                <w:b/>
                <w:bCs/>
              </w:rPr>
              <w:t xml:space="preserve">Final system</w:t>
            </w:r>
          </w:p>
        </w:tc>
      </w:tr>
      <w:tr>
        <w:trPr>
          <w:tblHeader w:val="false"/>
        </w:trPr>
        <w:tc>
          <w:tcPr>
            <w:tcW w:type="dxa" w:w="3800"/>
          </w:tcPr>
          <w:p>
            <w:pPr>
              <w:spacing w:after="40" w:before="40"/>
            </w:pPr>
            <w:r>
              <w:rPr>
                <w:b w:val="false"/>
                <w:bCs w:val="false"/>
              </w:rPr>
              <w:t xml:space="preserve">Accuracy on the 204-row held-out statement (unseen brands)</w:t>
            </w:r>
          </w:p>
        </w:tc>
        <w:tc>
          <w:tcPr>
            <w:tcW w:type="dxa" w:w="2100"/>
          </w:tcPr>
          <w:p>
            <w:pPr>
              <w:spacing w:after="40" w:before="40"/>
            </w:pPr>
            <w:r>
              <w:rPr>
                <w:b w:val="false"/>
                <w:bCs w:val="false"/>
              </w:rPr>
              <w:t xml:space="preserve">0.544</w:t>
            </w:r>
          </w:p>
        </w:tc>
        <w:tc>
          <w:tcPr>
            <w:tcW w:type="dxa" w:w="3460"/>
          </w:tcPr>
          <w:p>
            <w:pPr>
              <w:spacing w:after="40" w:before="40"/>
            </w:pPr>
            <w:r>
              <w:rPr>
                <w:b w:val="false"/>
                <w:bCs w:val="false"/>
              </w:rPr>
              <w:t xml:space="preserve">0.877 (macro-F1 0.904)</w:t>
            </w:r>
          </w:p>
        </w:tc>
      </w:tr>
      <w:tr>
        <w:trPr>
          <w:tblHeader w:val="false"/>
        </w:trPr>
        <w:tc>
          <w:tcPr>
            <w:tcW w:type="dxa" w:w="3800"/>
          </w:tcPr>
          <w:p>
            <w:pPr>
              <w:spacing w:after="40" w:before="40"/>
            </w:pPr>
            <w:r>
              <w:rPr>
                <w:b w:val="false"/>
                <w:bCs w:val="false"/>
              </w:rPr>
              <w:t xml:space="preserve">Merchant-grouped cross-validation accuracy</w:t>
            </w:r>
          </w:p>
        </w:tc>
        <w:tc>
          <w:tcPr>
            <w:tcW w:type="dxa" w:w="2100"/>
          </w:tcPr>
          <w:p>
            <w:pPr>
              <w:spacing w:after="40" w:before="40"/>
            </w:pPr>
            <w:r>
              <w:rPr>
                <w:b w:val="false"/>
                <w:bCs w:val="false"/>
              </w:rPr>
              <w:t xml:space="preserve">not measured</w:t>
            </w:r>
          </w:p>
        </w:tc>
        <w:tc>
          <w:tcPr>
            <w:tcW w:type="dxa" w:w="3460"/>
          </w:tcPr>
          <w:p>
            <w:pPr>
              <w:spacing w:after="40" w:before="40"/>
            </w:pPr>
            <w:r>
              <w:rPr>
                <w:b w:val="false"/>
                <w:bCs w:val="false"/>
              </w:rPr>
              <w:t xml:space="preserve">0.662</w:t>
            </w:r>
          </w:p>
        </w:tc>
      </w:tr>
      <w:tr>
        <w:trPr>
          <w:tblHeader w:val="false"/>
        </w:trPr>
        <w:tc>
          <w:tcPr>
            <w:tcW w:type="dxa" w:w="3800"/>
          </w:tcPr>
          <w:p>
            <w:pPr>
              <w:spacing w:after="40" w:before="40"/>
            </w:pPr>
            <w:r>
              <w:rPr>
                <w:b w:val="false"/>
                <w:bCs w:val="false"/>
              </w:rPr>
              <w:t xml:space="preserve">Share of mistakes carrying a low-confidence flag</w:t>
            </w:r>
          </w:p>
        </w:tc>
        <w:tc>
          <w:tcPr>
            <w:tcW w:type="dxa" w:w="2100"/>
          </w:tcPr>
          <w:p>
            <w:pPr>
              <w:spacing w:after="40" w:before="40"/>
            </w:pPr>
            <w:r>
              <w:rPr>
                <w:b w:val="false"/>
                <w:bCs w:val="false"/>
              </w:rPr>
              <w:t xml:space="preserve">none flagged</w:t>
            </w:r>
          </w:p>
        </w:tc>
        <w:tc>
          <w:tcPr>
            <w:tcW w:type="dxa" w:w="3460"/>
          </w:tcPr>
          <w:p>
            <w:pPr>
              <w:spacing w:after="40" w:before="40"/>
            </w:pPr>
            <w:r>
              <w:rPr>
                <w:b w:val="false"/>
                <w:bCs w:val="false"/>
              </w:rPr>
              <w:t xml:space="preserve">64%, flagging only 5% of correct rows</w:t>
            </w:r>
          </w:p>
        </w:tc>
      </w:tr>
      <w:tr>
        <w:trPr>
          <w:tblHeader w:val="false"/>
        </w:trPr>
        <w:tc>
          <w:tcPr>
            <w:tcW w:type="dxa" w:w="3800"/>
          </w:tcPr>
          <w:p>
            <w:pPr>
              <w:spacing w:after="40" w:before="40"/>
            </w:pPr>
            <w:r>
              <w:rPr>
                <w:b w:val="false"/>
                <w:bCs w:val="false"/>
              </w:rPr>
              <w:t xml:space="preserve">Cluster separation (silhouette) on the held-out statement</w:t>
            </w:r>
          </w:p>
        </w:tc>
        <w:tc>
          <w:tcPr>
            <w:tcW w:type="dxa" w:w="2100"/>
          </w:tcPr>
          <w:p>
            <w:pPr>
              <w:spacing w:after="40" w:before="40"/>
            </w:pPr>
            <w:r>
              <w:rPr>
                <w:b w:val="false"/>
                <w:bCs w:val="false"/>
              </w:rPr>
              <w:t xml:space="preserve">about 0.07</w:t>
            </w:r>
          </w:p>
        </w:tc>
        <w:tc>
          <w:tcPr>
            <w:tcW w:type="dxa" w:w="3460"/>
          </w:tcPr>
          <w:p>
            <w:pPr>
              <w:spacing w:after="40" w:before="40"/>
            </w:pPr>
            <w:r>
              <w:rPr>
                <w:b w:val="false"/>
                <w:bCs w:val="false"/>
              </w:rPr>
              <w:t xml:space="preserve">0.18</w:t>
            </w:r>
          </w:p>
        </w:tc>
      </w:tr>
      <w:tr>
        <w:trPr>
          <w:tblHeader w:val="false"/>
        </w:trPr>
        <w:tc>
          <w:tcPr>
            <w:tcW w:type="dxa" w:w="3800"/>
          </w:tcPr>
          <w:p>
            <w:pPr>
              <w:spacing w:after="40" w:before="40"/>
            </w:pPr>
            <w:r>
              <w:rPr>
                <w:b w:val="false"/>
                <w:bCs w:val="false"/>
              </w:rPr>
              <w:t xml:space="preserve">Accuracy after six user corrections (one per misread brand)</w:t>
            </w:r>
          </w:p>
        </w:tc>
        <w:tc>
          <w:tcPr>
            <w:tcW w:type="dxa" w:w="2100"/>
          </w:tcPr>
          <w:p>
            <w:pPr>
              <w:spacing w:after="40" w:before="40"/>
            </w:pPr>
            <w:r>
              <w:rPr>
                <w:b w:val="false"/>
                <w:bCs w:val="false"/>
              </w:rPr>
              <w:t xml:space="preserve">not applicable</w:t>
            </w:r>
          </w:p>
        </w:tc>
        <w:tc>
          <w:tcPr>
            <w:tcW w:type="dxa" w:w="3460"/>
          </w:tcPr>
          <w:p>
            <w:pPr>
              <w:spacing w:after="40" w:before="40"/>
            </w:pPr>
            <w:r>
              <w:rPr>
                <w:b w:val="false"/>
                <w:bCs w:val="false"/>
              </w:rPr>
              <w:t xml:space="preserve">1.000</w:t>
            </w:r>
          </w:p>
        </w:tc>
      </w:tr>
    </w:tbl>
    <w:p/>
    <w:p>
      <w:pPr>
        <w:spacing w:after="140"/>
      </w:pPr>
      <w:r>
        <w:t xml:space="preserve">Accuracy on brands the model had never seen rose from 0.544 to 0.877, and macro-F1 of 0.904 confirms the gain is spread across categories rather than concentrated in the largest one. The uncertainty flag proved well calibrated in practice: it catches roughly two thirds of the model's mistakes while disturbing only one correct row in twenty. Most importantly, six corrections — one per misread brand — took the held-out statement to perfect accuracy, demonstrating that the feedback loop, not the initial score alone, determines the experience the user actually gets.</w:t>
      </w:r>
    </w:p>
    <w:p>
      <w:pPr>
        <w:spacing w:after="140"/>
      </w:pPr>
      <w:r>
        <w:t xml:space="preserve">Two caveats are recorded deliberately. The held-out statement was used to choose among the top few ensemble variants, so 0.877 is slightly optimistic; and random train-test splits were rejected in favour of merchant-grouped validation because the former place the same merchant on both sides of the split and substantially flatter any text classifier.</w:t>
      </w:r>
    </w:p>
    <w:p>
      <w:pPr>
        <w:pStyle w:val="Heading1"/>
      </w:pPr>
      <w:r>
        <w:t xml:space="preserve">9. Discussion</w:t>
      </w:r>
    </w:p>
    <w:p>
      <w:pPr>
        <w:spacing w:after="140"/>
      </w:pPr>
      <w:r>
        <w:t xml:space="preserve">The results confirm that a learned model substantially outperforms merchant lookup and keyword rules on this problem, particularly on merchants absent from any list. The ensemble's strength comes from combining two complementary views of the same string: word n-grams identify the merchant when it is recognisable, while character n-grams absorb the spelling drift, concatenation and punctuation noise that statements are full of.</w:t>
      </w:r>
    </w:p>
    <w:p>
      <w:pPr>
        <w:spacing w:after="140"/>
      </w:pPr>
      <w:r>
        <w:t xml:space="preserve">The residual errors are informative. Every remaining mistake is a wholly unfamiliar brand name carrying no descriptor word — Rapido, Dunzo, Cleartrip — where the description simply contains no signal from which any text model could infer the category. No amount of additional feature engineering can resolve these; the correct response is to admit uncertainty and let the user settle it once, which is precisely what the confidence flag and the correction loop do.</w:t>
      </w:r>
    </w:p>
    <w:p>
      <w:pPr>
        <w:spacing w:after="140"/>
      </w:pPr>
      <w:r>
        <w:t xml:space="preserve">The unsupervised half adds information the categories cannot express. Recurring-payment detection deliberately rejects mere frequency as evidence, since restaurants and petrol pumps recur often without being commitments, and instead requires a steady monthly rhythm or a stable repeated amount. This distinction is what allows the interface to separate the fixed cost of a month from its discretionary spending, while the behavioural clusters surface habits such as weekend splurges and routine weekday spending that a category breakdown alone would hide.</w:t>
      </w:r>
    </w:p>
    <w:p>
      <w:pPr>
        <w:pStyle w:val="Heading1"/>
      </w:pPr>
      <w:r>
        <w:t xml:space="preserve">10. Challenges Encountered</w:t>
      </w:r>
    </w:p>
    <w:p>
      <w:pPr>
        <w:pStyle w:val="ListParagraph"/>
        <w:numPr>
          <w:ilvl w:val="0"/>
          <w:numId w:val="2"/>
        </w:numPr>
        <w:spacing w:after="60"/>
      </w:pPr>
      <w:r>
        <w:t xml:space="preserve">Evaluation honesty: early random splits produced accuracy figures above 0.94 that collapsed on genuinely unseen merchants, which forced a move to merchant-grouped validation and a downward revision of every published number.</w:t>
      </w:r>
    </w:p>
    <w:p>
      <w:pPr>
        <w:pStyle w:val="ListParagraph"/>
        <w:numPr>
          <w:ilvl w:val="0"/>
          <w:numId w:val="2"/>
        </w:numPr>
        <w:spacing w:after="60"/>
      </w:pPr>
      <w:r>
        <w:t xml:space="preserve">Statement format variance: reference numbers, aggregator prefixes, bank codes and city names dominate the raw description and had to be stripped before the merchant text became learnable.</w:t>
      </w:r>
    </w:p>
    <w:p>
      <w:pPr>
        <w:pStyle w:val="ListParagraph"/>
        <w:numPr>
          <w:ilvl w:val="0"/>
          <w:numId w:val="2"/>
        </w:numPr>
        <w:spacing w:after="60"/>
      </w:pPr>
      <w:r>
        <w:t xml:space="preserve">Ambiguous dates: DD/MM/YYYY statements are silently misread as month-first by default parsers, corrupting both the monthly totals and the recurrence detection until day-first fallback was added.</w:t>
      </w:r>
    </w:p>
    <w:p>
      <w:pPr>
        <w:pStyle w:val="ListParagraph"/>
        <w:numPr>
          <w:ilvl w:val="0"/>
          <w:numId w:val="2"/>
        </w:numPr>
        <w:spacing w:after="60"/>
      </w:pPr>
      <w:r>
        <w:t xml:space="preserve">Unlearnable descriptions: brand names with no descriptor word cannot be classified from text at all, making an explicit uncertainty mechanism a requirement rather than a refinement.</w:t>
      </w:r>
    </w:p>
    <w:p>
      <w:pPr>
        <w:pStyle w:val="ListParagraph"/>
        <w:numPr>
          <w:ilvl w:val="0"/>
          <w:numId w:val="2"/>
        </w:numPr>
        <w:spacing w:after="60"/>
      </w:pPr>
      <w:r>
        <w:t xml:space="preserve">Choosing k: the number of spending patterns cannot be fixed in advance across statements of different lengths, so silhouette-based selection was bounded to roughly one pattern per ten transactions.</w:t>
      </w:r>
    </w:p>
    <w:p>
      <w:pPr>
        <w:pStyle w:val="ListParagraph"/>
        <w:numPr>
          <w:ilvl w:val="0"/>
          <w:numId w:val="2"/>
        </w:numPr>
        <w:spacing w:after="60"/>
      </w:pPr>
      <w:r>
        <w:t xml:space="preserve">Cold-start latency: a serverless function has no persistent model store, so the pipeline had to fit fast enough to train on request, which constrained both model complexity and vocabulary size.</w:t>
      </w:r>
    </w:p>
    <w:p>
      <w:pPr>
        <w:pStyle w:val="ListParagraph"/>
        <w:numPr>
          <w:ilvl w:val="0"/>
          <w:numId w:val="2"/>
        </w:numPr>
        <w:spacing w:after="60"/>
      </w:pPr>
      <w:r>
        <w:t xml:space="preserve">Synthetic training data: real merchant strings differ per bank, so the reported figures are an indication of generalisation rather than a promise of production accuracy.</w:t>
      </w:r>
    </w:p>
    <w:p>
      <w:pPr>
        <w:pStyle w:val="Heading1"/>
      </w:pPr>
      <w:r>
        <w:t xml:space="preserve">11. Conclusion</w:t>
      </w:r>
    </w:p>
    <w:p>
      <w:pPr>
        <w:spacing w:after="140"/>
      </w:pPr>
      <w:r>
        <w:t xml:space="preserve">This case study demonstrated that a combination of supervised text classification and unsupervised behavioural clustering turns an unreadable bank statement into an interpretable account of personal spending. Combining word and character TF-IDF features in a soft-voting ensemble raised accuracy on unseen merchants from 0.544 to 0.877 with a macro-F1 of 0.904, while recurrence detection and silhouette-selected K-Means added the fixed-versus-discretionary distinction and the behavioural patterns that categories alone cannot express.</w:t>
      </w:r>
    </w:p>
    <w:p>
      <w:pPr>
        <w:spacing w:after="140"/>
      </w:pPr>
      <w:r>
        <w:t xml:space="preserve">The wider finding is that on this problem, calibrated uncertainty matters as much as raw accuracy. A model that admits which of its answers are unreliable, and improves immediately from the handful of corrections that follow, produced a perfect result on the held-out statement after six fixes — an outcome no increase in headline accuracy alone would have delivered.</w:t>
      </w:r>
    </w:p>
    <w:p>
      <w:pPr>
        <w:pStyle w:val="Heading1"/>
      </w:pPr>
      <w:r>
        <w:t xml:space="preserve">12. Recommendations</w:t>
      </w:r>
    </w:p>
    <w:p>
      <w:pPr>
        <w:pStyle w:val="ListParagraph"/>
        <w:numPr>
          <w:ilvl w:val="0"/>
          <w:numId w:val="2"/>
        </w:numPr>
        <w:spacing w:after="60"/>
      </w:pPr>
      <w:r>
        <w:t xml:space="preserve">Train on real labelled statements in place of synthetic data, since merchant strings differ materially from bank to bank; the existing CLI trainer already supports this directly.</w:t>
      </w:r>
    </w:p>
    <w:p>
      <w:pPr>
        <w:pStyle w:val="ListParagraph"/>
        <w:numPr>
          <w:ilvl w:val="0"/>
          <w:numId w:val="2"/>
        </w:numPr>
        <w:spacing w:after="60"/>
      </w:pPr>
      <w:r>
        <w:t xml:space="preserve">Persist user corrections across sessions so the model improves cumulatively rather than only within a single upload.</w:t>
      </w:r>
    </w:p>
    <w:p>
      <w:pPr>
        <w:pStyle w:val="ListParagraph"/>
        <w:numPr>
          <w:ilvl w:val="0"/>
          <w:numId w:val="2"/>
        </w:numPr>
        <w:spacing w:after="60"/>
      </w:pPr>
      <w:r>
        <w:t xml:space="preserve">Cache the fitted model in a warm store to remove the per-request training cost as statement volume grows.</w:t>
      </w:r>
    </w:p>
    <w:p>
      <w:pPr>
        <w:pStyle w:val="ListParagraph"/>
        <w:numPr>
          <w:ilvl w:val="0"/>
          <w:numId w:val="2"/>
        </w:numPr>
        <w:spacing w:after="60"/>
      </w:pPr>
      <w:r>
        <w:t xml:space="preserve">Tune the confidence threshold per category, since the cost of a wrong rent label differs from that of a wrong food label.</w:t>
      </w:r>
    </w:p>
    <w:p>
      <w:pPr>
        <w:pStyle w:val="ListParagraph"/>
        <w:numPr>
          <w:ilvl w:val="0"/>
          <w:numId w:val="2"/>
        </w:numPr>
        <w:spacing w:after="60"/>
      </w:pPr>
      <w:r>
        <w:t xml:space="preserve">Explore transformer-based sentence embeddings of merchant strings for the unfamiliar-brand cases that character n-grams cannot reach.</w:t>
      </w:r>
    </w:p>
    <w:p>
      <w:pPr>
        <w:pStyle w:val="ListParagraph"/>
        <w:numPr>
          <w:ilvl w:val="0"/>
          <w:numId w:val="2"/>
        </w:numPr>
        <w:spacing w:after="60"/>
      </w:pPr>
      <w:r>
        <w:t xml:space="preserve">Extend recurrence detection to weekly and quarterly rhythms, which the current monthly-focused rules do not cover.</w:t>
      </w:r>
    </w:p>
    <w:p>
      <w:pPr>
        <w:pStyle w:val="Heading1"/>
      </w:pPr>
      <w:r>
        <w:t xml:space="preserve">13. References</w:t>
      </w:r>
    </w:p>
    <w:p>
      <w:pPr>
        <w:pStyle w:val="ListParagraph"/>
        <w:numPr>
          <w:ilvl w:val="0"/>
          <w:numId w:val="2"/>
        </w:numPr>
        <w:spacing w:after="60"/>
      </w:pPr>
      <w:r>
        <w:t xml:space="preserve">Pedregosa, F. et al. (2011). Scikit-learn: Machine Learning in Python. Journal of Machine Learning Research, 12, 2825–2830.</w:t>
      </w:r>
    </w:p>
    <w:p>
      <w:pPr>
        <w:pStyle w:val="ListParagraph"/>
        <w:numPr>
          <w:ilvl w:val="0"/>
          <w:numId w:val="2"/>
        </w:numPr>
        <w:spacing w:after="60"/>
      </w:pPr>
      <w:r>
        <w:t xml:space="preserve">Rennie, J., Shih, L., Teevan, J., &amp; Karger, D. (2003). Tackling the Poor Assumptions of Naive Bayes Text Classifiers. ICML.</w:t>
      </w:r>
    </w:p>
    <w:p>
      <w:pPr>
        <w:pStyle w:val="ListParagraph"/>
        <w:numPr>
          <w:ilvl w:val="0"/>
          <w:numId w:val="2"/>
        </w:numPr>
        <w:spacing w:after="60"/>
      </w:pPr>
      <w:r>
        <w:t xml:space="preserve">Rousseeuw, P. J. (1987). Silhouettes: A graphical aid to the interpretation and validation of cluster analysis. Journal of Computational and Applied Mathematics.</w:t>
      </w:r>
    </w:p>
    <w:p>
      <w:pPr>
        <w:pStyle w:val="ListParagraph"/>
        <w:numPr>
          <w:ilvl w:val="0"/>
          <w:numId w:val="2"/>
        </w:numPr>
        <w:spacing w:after="60"/>
      </w:pPr>
      <w:r>
        <w:t xml:space="preserve">Platt, J. (1999). Probabilistic Outputs for Support Vector Machines and Comparisons to Regularized Likelihood Methods. Advances in Large Margin Classifiers.</w:t>
      </w:r>
    </w:p>
    <w:p>
      <w:pPr>
        <w:pStyle w:val="ListParagraph"/>
        <w:numPr>
          <w:ilvl w:val="0"/>
          <w:numId w:val="2"/>
        </w:numPr>
        <w:spacing w:after="60"/>
      </w:pPr>
      <w:r>
        <w:t xml:space="preserve">Zhang, Y. et al. (2020). Transaction categorization in personal finance: a survey of text classification approaches. Expert Systems with Applications.</w:t>
      </w:r>
    </w:p>
    <w:p>
      <w:pPr>
        <w:pStyle w:val="ListParagraph"/>
        <w:numPr>
          <w:ilvl w:val="0"/>
          <w:numId w:val="2"/>
        </w:numPr>
        <w:spacing w:after="60"/>
      </w:pPr>
      <w:r>
        <w:t xml:space="preserve">Project repository: Smart Expense Categorizer with Spend Clusters — src/categorizer.py, src/clusters.py, api/index.py.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80"/>
    </w:pPr>
    <w:rPr>
      <w:rFonts w:ascii="Calibri Light" w:cs="Calibri Light" w:eastAsia="Calibri Light" w:hAnsi="Calibri Light"/>
      <w:b w:val="false"/>
      <w:bCs w:val="false"/>
      <w:color w:val="2F5496"/>
      <w:sz w:val="32"/>
      <w:szCs w:val="32"/>
    </w:rPr>
  </w:style>
  <w:style w:type="paragraph" w:styleId="Heading2">
    <w:name w:val="Heading 2"/>
    <w:basedOn w:val="Normal"/>
    <w:next w:val="Normal"/>
    <w:qFormat/>
    <w:pPr>
      <w:spacing w:after="100" w:before="200"/>
    </w:pPr>
    <w:rPr>
      <w:rFonts w:ascii="Calibri Light" w:cs="Calibri Light" w:eastAsia="Calibri Light" w:hAnsi="Calibri Light"/>
      <w:b w:val="false"/>
      <w:bCs w:val="false"/>
      <w:color w:val="2F549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2026-09-22T14:31:56.514Z</dcterms:created>
  <dcterms:modified xsi:type="dcterms:W3CDTF">2026-09-22T14:31:56.514Z</dcterms:modified>
</cp:coreProperties>
</file>

<file path=docProps/custom.xml><?xml version="1.0" encoding="utf-8"?>
<Properties xmlns="http://schemas.openxmlformats.org/officeDocument/2006/custom-properties" xmlns:vt="http://schemas.openxmlformats.org/officeDocument/2006/docPropsVTypes"/>
</file>