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1283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 — Title</w:t>
      </w:r>
    </w:p>
    <w:p w14:paraId="3E16EBF4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“PBM Payment Hold Release — Comprehensive Overview (/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/v1, REST-only)”</w:t>
      </w:r>
    </w:p>
    <w:p w14:paraId="1066CA9B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“Hi everyone, thanks for joining. Today I’m walking through the end-to-end solution for enabling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 self-service release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mail-order Payment Holds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in the Aetna portal. This deck is the single source of truth for UX, server, and engineering teams to build accurate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t-shirt estimates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for scope and duration.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quick framing: We’re using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 only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On the PBM side, all endpoints are under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are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existing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On the Aetna side, we introduce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endpoints as a thin proxy/BFF. The flow is: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 → Consent → Resolve → Refresh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plus cache purge and audit. I’ll call out what’s in scope, what’s out of scope, and how the UI screenshots line up with the API calls.”</w:t>
      </w:r>
    </w:p>
    <w:p w14:paraId="5277636A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 / Emphasis:</w:t>
      </w:r>
    </w:p>
    <w:p w14:paraId="492DC1CF" w14:textId="77777777" w:rsidR="00475BEA" w:rsidRPr="00475BEA" w:rsidRDefault="00475BEA" w:rsidP="00475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Set expectations: 25–30 min walkthrough.</w:t>
      </w:r>
    </w:p>
    <w:p w14:paraId="7B70F60A" w14:textId="77777777" w:rsidR="00475BEA" w:rsidRPr="00475BEA" w:rsidRDefault="00475BEA" w:rsidP="00475B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Reiterate “no new PBM endpoints.”</w:t>
      </w:r>
    </w:p>
    <w:p w14:paraId="379BE7A7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458F80EB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7312BB9F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 — Executive Summary</w:t>
      </w:r>
    </w:p>
    <w:p w14:paraId="30B4A751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“Here’s the high-level story. Members will release PBM Payment Holds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directly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from the Aetna portal by following a single threaded experience. We detect eligibility when the PBM flags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code 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render a clear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‘Change Payment Method’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call-to-action, capture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and payment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with tokenized instruments, call the PBM to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hold, and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order status.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Transport is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REST-only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We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don’t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add new PBM endpoints. We route from the portal to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(our proxy/BFF), and from there to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 /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(existing Experience API).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Why it matters: this reduces call center contacts, accelerates mail-order fulfillment, and creates a clean audit trail—every attempt and outcome is captured.”</w:t>
      </w:r>
    </w:p>
    <w:p w14:paraId="1D839F47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5D8219E5" w14:textId="77777777" w:rsidR="00475BEA" w:rsidRPr="00475BEA" w:rsidRDefault="00475BEA" w:rsidP="00475B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Mention outcomes: faster fulfillment, fewer calls, complete audit.</w:t>
      </w:r>
    </w:p>
    <w:p w14:paraId="63283B62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2D519CF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197B0C99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Slide 3 — Scope &amp; </w:t>
      </w:r>
      <w:proofErr w:type="gramStart"/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Non-Scope</w:t>
      </w:r>
      <w:proofErr w:type="gramEnd"/>
    </w:p>
    <w:p w14:paraId="209F15F0" w14:textId="2F7DC4D3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“Scope is intentionally sharp.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 scope: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PBM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mail-order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Payment Holds where the reason is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</w:t>
      </w:r>
      <w:r w:rsidR="002320E2">
        <w:rPr>
          <w:rFonts w:ascii="Times New Roman" w:eastAsia="Times New Roman" w:hAnsi="Times New Roman" w:cs="Times New Roman"/>
          <w:kern w:val="0"/>
          <w14:ligatures w14:val="none"/>
        </w:rPr>
        <w:t xml:space="preserve"> which is the CVS code indicating an order is on payment hold, 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 UX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surfaces a CTA and consent/payment dialog,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proxy forwards to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and the portal performs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 purge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after success or failure.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 of scope: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EBDS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 Holds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SLP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-based flows—those are explicitly not part of this solution. We’re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creating any new PBM endpoints, and we’re reusing existing payment tokenization; no PCI surfaces change on the client.”</w:t>
      </w:r>
    </w:p>
    <w:p w14:paraId="12194F30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6FFFA459" w14:textId="77777777" w:rsidR="00475BEA" w:rsidRPr="00475BEA" w:rsidRDefault="00475BEA" w:rsidP="00475B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Align stakeholders: this is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mail-order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only, not retail, not EBDS/SLP.</w:t>
      </w:r>
    </w:p>
    <w:p w14:paraId="3D50E836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2EFFE1FC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63E93F73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 — Endpoint Map (Who Owns What)</w:t>
      </w:r>
    </w:p>
    <w:p w14:paraId="063404D5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“This slide clarifies ownership and naming:</w:t>
      </w:r>
    </w:p>
    <w:p w14:paraId="14AA21FE" w14:textId="77777777" w:rsidR="00475BEA" w:rsidRPr="00475BEA" w:rsidRDefault="00475BEA" w:rsidP="00475B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Aetna /v1 (new)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: These are our proxy/BFF routes. They exist to manage OAuth2, headers, idempotency, and observability.</w:t>
      </w:r>
    </w:p>
    <w:p w14:paraId="5DE6D31B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/v1/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high-cost-</w:t>
      </w:r>
      <w:proofErr w:type="gram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hold?rxId</w:t>
      </w:r>
      <w:proofErr w:type="gram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&amp;memberId</w:t>
      </w:r>
      <w:proofErr w:type="spellEnd"/>
    </w:p>
    <w:p w14:paraId="7B3D97BC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/v1/payment-consent</w:t>
      </w:r>
    </w:p>
    <w:p w14:paraId="04F2FAD7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}/resolve-payment-hold</w:t>
      </w:r>
    </w:p>
    <w:p w14:paraId="788DC12D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/v1/orders/{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38C897" w14:textId="77777777" w:rsidR="00475BEA" w:rsidRPr="00475BEA" w:rsidRDefault="00475BEA" w:rsidP="00475B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 /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(existing)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: These are the PBM Experience API routes we’re calling.</w:t>
      </w:r>
    </w:p>
    <w:p w14:paraId="2A7442C4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high-cost-</w:t>
      </w:r>
      <w:proofErr w:type="gram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hold?rxId</w:t>
      </w:r>
      <w:proofErr w:type="gram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&amp;memberId</w:t>
      </w:r>
      <w:proofErr w:type="spellEnd"/>
    </w:p>
    <w:p w14:paraId="4932210F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/payment-consent</w:t>
      </w:r>
    </w:p>
    <w:p w14:paraId="232B1DB5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}/resolve-payment-hold</w:t>
      </w:r>
    </w:p>
    <w:p w14:paraId="481F79C0" w14:textId="77777777" w:rsidR="00475BEA" w:rsidRPr="00475BEA" w:rsidRDefault="00475BEA" w:rsidP="00475BE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Headers: we send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Idempotency-Key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 POSTs and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X-Trace-Id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 all calls. Auth is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OAuth2 client-credentials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between /v1 and /</w:t>
      </w:r>
      <w:proofErr w:type="spell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.”</w:t>
      </w:r>
    </w:p>
    <w:p w14:paraId="7A8EA226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4CEF7F1E" w14:textId="77777777" w:rsidR="00475BEA" w:rsidRPr="00475BEA" w:rsidRDefault="00475BEA" w:rsidP="00475B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Re-emphasize that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already exists;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is new and Aetna-owned.</w:t>
      </w:r>
    </w:p>
    <w:p w14:paraId="1AEC90B8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298D5F1C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078AF20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 — End-to-End Flow (Happy Path)</w:t>
      </w:r>
    </w:p>
    <w:p w14:paraId="30E30EA8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</w:t>
      </w:r>
      <w:proofErr w:type="gram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Let’s walk</w:t>
      </w:r>
      <w:proofErr w:type="gram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happy path: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1, Eligibility: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portal calls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/v1/high-cost-hold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which forwards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/high-cost-hold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If the response is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ELIGIBLE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selfServeOption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=PAYMENT_HOLD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reason code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we render the CTA.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2, Consent: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portal posts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/v1/payment-consent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which forwards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/payment-consent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This returns a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consentReference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3, Resolve: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portal posts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}/resolve-payment-hold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forwarding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}/resolve-payment-hold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When PBM confirms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we also get an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4, Refresh: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portal calls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/v1/orders/{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the hold is gone, and we purge cache plus write audit locally.”</w:t>
      </w:r>
    </w:p>
    <w:p w14:paraId="11B60712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0F39F9D2" w14:textId="77777777" w:rsidR="00475BEA" w:rsidRPr="00475BEA" w:rsidRDefault="00475BEA" w:rsidP="00475B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proofErr w:type="spell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ConsentReference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” is the hand-off token for the release action.</w:t>
      </w:r>
    </w:p>
    <w:p w14:paraId="3E31B8EE" w14:textId="77777777" w:rsidR="00475BEA" w:rsidRPr="00475BEA" w:rsidRDefault="00475BEA" w:rsidP="00475B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Idempotency key prevents duplicate effects.</w:t>
      </w:r>
    </w:p>
    <w:p w14:paraId="1490572C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2F86717E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006CE08C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6 — Error Paths &amp; Handling</w:t>
      </w:r>
    </w:p>
    <w:p w14:paraId="6BEEF8C1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“On error handling: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is not met, the CTA stays hidden and we re-check on navigation or a page refresh.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is rejected with a 4xx, we surface the provider message, let the member adjust and resubmit; no automatic retries on validation errors.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fails with 5xx or 429, we use exponential backoff and show a retry affordance; we still write a failure audit event.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a request is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replayed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with the same Idempotency-Key, we return the original outcome without duplicating side effects.”</w:t>
      </w:r>
    </w:p>
    <w:p w14:paraId="49C9F029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630F376C" w14:textId="77777777" w:rsidR="00475BEA" w:rsidRPr="00475BEA" w:rsidRDefault="00475BEA" w:rsidP="00475B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Emphasize member-friendly error copy.</w:t>
      </w:r>
    </w:p>
    <w:p w14:paraId="59CE24F7" w14:textId="77777777" w:rsidR="00475BEA" w:rsidRPr="00475BEA" w:rsidRDefault="00475BEA" w:rsidP="00475B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Record an audit for every attempt.</w:t>
      </w:r>
    </w:p>
    <w:p w14:paraId="546D05CD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53BCAAB7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5845CCA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7 — Examples: Aetna /v1 (Proxy/BFF)</w:t>
      </w:r>
    </w:p>
    <w:p w14:paraId="71E8B0FC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“Here are representative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calls the portal makes: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/v1/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high-cost-hold?rxId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=RX123&amp;memberId=M-12345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returns eligibility.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/v1/payment-consent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takes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an array of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rxNumber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consentResponse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a tokenized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paymentInstrument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The response is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status=accepted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plus a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consentReference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 /v1/orders/{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}/resolve-payment-hold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takes the RX list,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memberId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consentReference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traceId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returning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result=released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an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auditId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Finally,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 /v1/orders/{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confirms there are no remaining holds.”</w:t>
      </w:r>
    </w:p>
    <w:p w14:paraId="06DA9A47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0B5D4A79" w14:textId="77777777" w:rsidR="00475BEA" w:rsidRPr="00475BEA" w:rsidRDefault="00475BEA" w:rsidP="00475B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These are the routes the portal team will </w:t>
      </w:r>
      <w:proofErr w:type="gram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actually integrate</w:t>
      </w:r>
      <w:proofErr w:type="gram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with.</w:t>
      </w:r>
    </w:p>
    <w:p w14:paraId="14FEABAC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07EE1450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090CA34E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8 — Forwarded Calls: CVS /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(Experience API)</w:t>
      </w:r>
    </w:p>
    <w:p w14:paraId="44E19531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“Everything under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forwards 1:1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The messages and semantics are preserved. This is where OAuth2 client-credentials apply. Monitoring and logs on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should capture request/response metadata while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redacting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sensitive fields. The contract on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authoritative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; if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evolves—say a combined ‘consent + resolve’ endpoint—we can adapt in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without changing the portal.”</w:t>
      </w:r>
    </w:p>
    <w:p w14:paraId="1D2558F0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3CD1A463" w14:textId="77777777" w:rsidR="00475BEA" w:rsidRPr="00475BEA" w:rsidRDefault="00475BEA" w:rsidP="00475B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Reinforce that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decouples the portal from provider churn.</w:t>
      </w:r>
    </w:p>
    <w:p w14:paraId="519C4274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538DEEC5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2AE49D5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9 — UX Requirements</w:t>
      </w:r>
    </w:p>
    <w:p w14:paraId="23536D96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“UX guidelines: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Show the CTA only when the eligibility call returns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ELIGIBLE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PAYMENT_HOLD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 code 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consent dialog must use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member-friendly copy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clearly explain the action, and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reuse existing tokenized payment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interactions.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 success, display a confirmation toast and automatically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the details.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On errors,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map provider codes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to readable messages and expose a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control. Ensure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accessibility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—focus management on dialog open/close and live-region updates for status changes.”</w:t>
      </w:r>
    </w:p>
    <w:p w14:paraId="529FDB0C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59A3471B" w14:textId="77777777" w:rsidR="00475BEA" w:rsidRPr="00475BEA" w:rsidRDefault="00475BEA" w:rsidP="00475B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Accessibility is required, not optional.</w:t>
      </w:r>
    </w:p>
    <w:p w14:paraId="67EBB84A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070DCDC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909D4C9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10 — Engineering Requirements (/v1 + Portal)</w:t>
      </w:r>
    </w:p>
    <w:p w14:paraId="6934FE0E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“Engineering tasks fall into two buckets: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Portal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: Implement the four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calls, handle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Idempotency-Key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generation for POSTs, propagate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X-Trace-Id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implement retries for 5xx/429, and perform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cache purge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plus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write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after each action.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/v1 Proxy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: Wire OAuth2 credentials to reach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forward headers, implement request/response logging with redaction, expose metrics (p95 latency, success/failure rates, retry counts), and surface standardized errors to the portal.”</w:t>
      </w:r>
    </w:p>
    <w:p w14:paraId="31035387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67A81FDB" w14:textId="77777777" w:rsidR="00475BEA" w:rsidRPr="00475BEA" w:rsidRDefault="00475BEA" w:rsidP="00475B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Add feature flag for CTA if needed (mentioned later).</w:t>
      </w:r>
    </w:p>
    <w:p w14:paraId="37DB0F24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379B95A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69E0B835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11 — Non-Functional Requirements</w:t>
      </w:r>
    </w:p>
    <w:p w14:paraId="6D07CB2D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“NFRs: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Availability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: The read path—the eligibility check and order refresh—must remain usable even if action routes are degraded.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: p95 target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≤ 300 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for GETs and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≤ 600 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for POSTs E2E, excluding payment tokenization.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: Tokenized instruments only; minimum necessary identifiers.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: Append-only audit for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attempt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retained per policy.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limits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: Honor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quotas; back off on 429.”</w:t>
      </w:r>
    </w:p>
    <w:p w14:paraId="5F0A7C33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304B9E4C" w14:textId="77777777" w:rsidR="00475BEA" w:rsidRPr="00475BEA" w:rsidRDefault="00475BEA" w:rsidP="00475B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These targets help with sizing and load testing plans.</w:t>
      </w:r>
    </w:p>
    <w:p w14:paraId="6004A76B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66C8B2A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D979D99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12 — Assumptions &amp; Dependencies</w:t>
      </w:r>
    </w:p>
    <w:p w14:paraId="2C85B560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“Our plan assumes: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exposes the four routes as modeled—or a single combined ‘resolve with consent’ route we can adapt to.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Scopes: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experience.read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experience.write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are provisioned via OAuth2.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portal already supports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tokenized payment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in PCI-segregated fashion.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Test data is seeded for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reason=54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so we can exercise eligibility, consent, resolve, and refresh in sandbox.”</w:t>
      </w:r>
    </w:p>
    <w:p w14:paraId="208BDF98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310D9B24" w14:textId="77777777" w:rsidR="00475BEA" w:rsidRPr="00475BEA" w:rsidRDefault="00475BEA" w:rsidP="00475B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If any of these are at risk, call them out early in planning.</w:t>
      </w:r>
    </w:p>
    <w:p w14:paraId="72059482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3C7BB1F3">
          <v:rect id="_x0000_i1036" alt="" style="width:461pt;height:.05pt;mso-width-percent:0;mso-height-percent:0;mso-width-percent:0;mso-height-percent:0" o:hrpct="985" o:hralign="center" o:hrstd="t" o:hr="t" fillcolor="#a0a0a0" stroked="f"/>
        </w:pict>
      </w:r>
    </w:p>
    <w:p w14:paraId="5B1F36A9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13 — Risks &amp; Mitigations</w:t>
      </w:r>
    </w:p>
    <w:p w14:paraId="5780DFEA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“Key risks: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drift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: mitigate with contract tests in CI, keep a sandbox parity check, and alert on schema mismatches.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 misuse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: mitigate by generating a new UUID per member action and maintaining a 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key→result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store for 24–48 hours.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 flaps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during a session: mitigate by re-checking eligibility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confirm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disabling the action if the state changed.”</w:t>
      </w:r>
    </w:p>
    <w:p w14:paraId="061AEAC7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51AD94CE" w14:textId="77777777" w:rsidR="00475BEA" w:rsidRPr="00475BEA" w:rsidRDefault="00475BEA" w:rsidP="00475B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These three drive most production issues; keep them visible in runbooks.</w:t>
      </w:r>
    </w:p>
    <w:p w14:paraId="0B328BBD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706690F7">
          <v:rect id="_x0000_i1035" alt="" style="width:461pt;height:.05pt;mso-width-percent:0;mso-height-percent:0;mso-width-percent:0;mso-height-percent:0" o:hrpct="985" o:hralign="center" o:hrstd="t" o:hr="t" fillcolor="#a0a0a0" stroked="f"/>
        </w:pict>
      </w:r>
    </w:p>
    <w:p w14:paraId="2D279087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14 — T-Shirt Sizing Inputs</w:t>
      </w:r>
    </w:p>
    <w:p w14:paraId="61E04DBA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“Here’s a breakdown for estimates: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items:</w:t>
      </w:r>
    </w:p>
    <w:p w14:paraId="7512CBBB" w14:textId="77777777" w:rsidR="00475BEA" w:rsidRPr="00475BEA" w:rsidRDefault="00475BEA" w:rsidP="00475B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UX: 2–3 screens—detail, consent/payment, success/error states; copy and accessibility.</w:t>
      </w:r>
    </w:p>
    <w:p w14:paraId="6D1ECC1A" w14:textId="77777777" w:rsidR="00475BEA" w:rsidRPr="00475BEA" w:rsidRDefault="00475BEA" w:rsidP="00475B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Front-end: 4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calls, idempotency, retry, cache purge, and error mapping.</w:t>
      </w:r>
    </w:p>
    <w:p w14:paraId="5188F55C" w14:textId="77777777" w:rsidR="00475BEA" w:rsidRPr="00475BEA" w:rsidRDefault="00475BEA" w:rsidP="00475B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Back-end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: thin proxy, OAuth2, logging, metrics dashboards.</w:t>
      </w:r>
    </w:p>
    <w:p w14:paraId="0E39A444" w14:textId="77777777" w:rsidR="00475BEA" w:rsidRPr="00475BEA" w:rsidRDefault="00475BEA" w:rsidP="00475B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QA: happy path, edge cases, error paths, and automation.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Cross-cutting: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Security for secrets and scopes; Ops dashboards and alerts; release strategy with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launch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a feature flag to hide or show the CTA.”</w:t>
      </w:r>
    </w:p>
    <w:p w14:paraId="545F7003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6C58FC7A" w14:textId="77777777" w:rsidR="00475BEA" w:rsidRPr="00475BEA" w:rsidRDefault="00475BEA" w:rsidP="00475B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Teams can adjust sizes based on specific capacity and tooling.</w:t>
      </w:r>
    </w:p>
    <w:p w14:paraId="2CDAC8E9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29D43DD5">
          <v:rect id="_x0000_i1034" alt="" style="width:461pt;height:.05pt;mso-width-percent:0;mso-height-percent:0;mso-width-percent:0;mso-height-percent:0" o:hrpct="985" o:hralign="center" o:hrstd="t" o:hr="t" fillcolor="#a0a0a0" stroked="f"/>
        </w:pict>
      </w:r>
    </w:p>
    <w:p w14:paraId="605A5E65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15 — Timeline Strawman</w:t>
      </w:r>
    </w:p>
    <w:p w14:paraId="05E43B09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“An example five-week plan: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1: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confirm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contracts, finalize UX copy, scaffold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provision OAuth2.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Weeks 2–3: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front-end flows,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proxy implementation, error mapping, idempotency plumbing.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4: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QA and sandbox end-to-end runs; metrics dashboards; bug bash.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 5: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launch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to 5–10% of traffic, observe success/error rates and user behavior, fix as needed, and proceed to general availability.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If we need to throttle risk, we can extend dark launch and ramp by cohort or plan.”</w:t>
      </w:r>
    </w:p>
    <w:p w14:paraId="1FB982CA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2ADB53E7" w14:textId="77777777" w:rsidR="00475BEA" w:rsidRPr="00475BEA" w:rsidRDefault="00475BEA" w:rsidP="00475BE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This is a strawman; teams refine based on scope and resourcing.</w:t>
      </w:r>
    </w:p>
    <w:p w14:paraId="3B2E9A90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4E54CFA6">
          <v:rect id="_x0000_i1033" alt="" style="width:461pt;height:.05pt;mso-width-percent:0;mso-height-percent:0;mso-width-percent:0;mso-height-percent:0" o:hrpct="985" o:hralign="center" o:hrstd="t" o:hr="t" fillcolor="#a0a0a0" stroked="f"/>
        </w:pict>
      </w:r>
    </w:p>
    <w:p w14:paraId="05EC5165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16 — UI Flow (Image 1 of 4)</w:t>
      </w:r>
    </w:p>
    <w:p w14:paraId="55FB4351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“This is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orders list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context view. In our flow, this is where members first notice a delayed item and choose to investigate. This screen leads into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—the portal will call </w:t>
      </w:r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/v1/</w:t>
      </w:r>
      <w:proofErr w:type="spellStart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high-cost-</w:t>
      </w:r>
      <w:proofErr w:type="gramStart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hold?rxId</w:t>
      </w:r>
      <w:proofErr w:type="gramEnd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&amp;memberId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If the response is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ELIGIBLE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reason=54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the downstream CTA becomes available.”</w:t>
      </w:r>
    </w:p>
    <w:p w14:paraId="23525A09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2954DC6B" w14:textId="77777777" w:rsidR="00475BEA" w:rsidRPr="00475BEA" w:rsidRDefault="00475BEA" w:rsidP="00475B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Tie the visual to the eligibility check.</w:t>
      </w:r>
    </w:p>
    <w:p w14:paraId="3798C3D9" w14:textId="77777777" w:rsidR="00475BEA" w:rsidRPr="00475BEA" w:rsidRDefault="00475BEA" w:rsidP="00475BE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Remind: CTA only when ELIGIBLE/54.</w:t>
      </w:r>
    </w:p>
    <w:p w14:paraId="7A9E208A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26AEE0C8">
          <v:rect id="_x0000_i1032" alt="" style="width:461pt;height:.05pt;mso-width-percent:0;mso-height-percent:0;mso-width-percent:0;mso-height-percent:0" o:hrpct="985" o:hralign="center" o:hrstd="t" o:hr="t" fillcolor="#a0a0a0" stroked="f"/>
        </w:pict>
      </w:r>
    </w:p>
    <w:p w14:paraId="1F533DA1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17 — UI Flow (Image 2 of 4)</w:t>
      </w:r>
    </w:p>
    <w:p w14:paraId="577007C1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“Here’s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detail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view with the ‘We need your help’ banner. This directly corresponds to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state.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CTA is gated on the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/v1/high-cost-hold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response—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ELIGIBLE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PAYMENT_HOLD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reason=54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Pressing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opens the consent dialog and the payment method confirmation.”</w:t>
      </w:r>
    </w:p>
    <w:p w14:paraId="7FE64EC7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41691610" w14:textId="77777777" w:rsidR="00475BEA" w:rsidRPr="00475BEA" w:rsidRDefault="00475BEA" w:rsidP="00475BE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This slide helps UX align copy and gating.</w:t>
      </w:r>
    </w:p>
    <w:p w14:paraId="778041B2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1DF22B74">
          <v:rect id="_x0000_i1031" alt="" style="width:461pt;height:.05pt;mso-width-percent:0;mso-height-percent:0;mso-width-percent:0;mso-height-percent:0" o:hrpct="985" o:hralign="center" o:hrstd="t" o:hr="t" fillcolor="#a0a0a0" stroked="f"/>
        </w:pict>
      </w:r>
    </w:p>
    <w:p w14:paraId="0E653A5C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18 — UI Flow (Image 3 of 4)</w:t>
      </w:r>
    </w:p>
    <w:p w14:paraId="5C7C9617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“Now we’re in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path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After the member accepts and confirms the tokenized payment instrument, the portal calls </w:t>
      </w:r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/v1/payment-consent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receives a </w:t>
      </w:r>
      <w:proofErr w:type="spellStart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consentReference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Immediately after, we initiate </w:t>
      </w:r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POST /v1/orders/{</w:t>
      </w:r>
      <w:proofErr w:type="spellStart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}/resolve-payment-hold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to clear the hold. On success, the flow records the </w:t>
      </w:r>
      <w:proofErr w:type="spellStart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auditId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proceeds to refresh.”</w:t>
      </w:r>
    </w:p>
    <w:p w14:paraId="3296D2D0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5F2242F6" w14:textId="77777777" w:rsidR="00475BEA" w:rsidRPr="00475BEA" w:rsidRDefault="00475BEA" w:rsidP="00475BE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Call out two POSTs, both with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Idempotency-Key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6FC98F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6E79CFF6">
          <v:rect id="_x0000_i1030" alt="" style="width:461pt;height:.05pt;mso-width-percent:0;mso-height-percent:0;mso-width-percent:0;mso-height-percent:0" o:hrpct="985" o:hralign="center" o:hrstd="t" o:hr="t" fillcolor="#a0a0a0" stroked="f"/>
        </w:pict>
      </w:r>
    </w:p>
    <w:p w14:paraId="1B9445E6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19 — UI Flow (Image 4 of 4)</w:t>
      </w:r>
    </w:p>
    <w:p w14:paraId="224A3EF4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“This shows the member’s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 navigation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back to ‘View Order Status.’ When the detail view reloads, the portal calls </w:t>
      </w:r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GET /v1/orders/{</w:t>
      </w:r>
      <w:proofErr w:type="spellStart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orderId</w:t>
      </w:r>
      <w:proofErr w:type="spellEnd"/>
      <w:r w:rsidRPr="00475BEA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hold is cleared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then surfaces a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success toast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updated status. If there’s an error, we show provider-mapped copy and expose retry.”</w:t>
      </w:r>
    </w:p>
    <w:p w14:paraId="155DEB8A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4F21B8E4" w14:textId="77777777" w:rsidR="00475BEA" w:rsidRPr="00475BEA" w:rsidRDefault="00475BEA" w:rsidP="00475BE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Reinforce refresh + success toast + cache purge.</w:t>
      </w:r>
    </w:p>
    <w:p w14:paraId="5BBEDFAA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522C13DE">
          <v:rect id="_x0000_i1029" alt="" style="width:461pt;height:.05pt;mso-width-percent:0;mso-height-percent:0;mso-width-percent:0;mso-height-percent:0" o:hrpct="985" o:hralign="center" o:hrstd="t" o:hr="t" fillcolor="#a0a0a0" stroked="f"/>
        </w:pict>
      </w:r>
    </w:p>
    <w:p w14:paraId="4497589F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Slide 20 — Appendix: 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OpenAPI</w:t>
      </w:r>
      <w:proofErr w:type="spellEnd"/>
      <w:r w:rsidRPr="00475B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Paths (Excerpt)</w:t>
      </w:r>
    </w:p>
    <w:p w14:paraId="7D2F99C2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“Finally, a quick reminder of the API surface we’re exposing in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forwarding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This excerpt is also available in the </w:t>
      </w:r>
      <w:proofErr w:type="spell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document we shared earlier. Teams can use it to seed Postman collections and </w:t>
      </w:r>
      <w:proofErr w:type="spell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codegen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stubs.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If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offers a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combined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endpoint that submits consent and resolves in a single call, that’s fine—we’ll adapt the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proxy to that variant while keeping portal integration stable.”</w:t>
      </w:r>
    </w:p>
    <w:p w14:paraId="262AAB0D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4DF0EA10" w14:textId="77777777" w:rsidR="00475BEA" w:rsidRPr="00475BEA" w:rsidRDefault="00475BEA" w:rsidP="00475BE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Point folks to the full </w:t>
      </w:r>
      <w:proofErr w:type="spell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spec in the repo or document.</w:t>
      </w:r>
    </w:p>
    <w:p w14:paraId="2E504792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0002FD1A">
          <v:rect id="_x0000_i1028" alt="" style="width:461pt;height:.05pt;mso-width-percent:0;mso-height-percent:0;mso-width-percent:0;mso-height-percent:0" o:hrpct="985" o:hralign="center" o:hrstd="t" o:hr="t" fillcolor="#a0a0a0" stroked="f"/>
        </w:pict>
      </w:r>
    </w:p>
    <w:p w14:paraId="58D68B1F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Optional Closing (Q&amp;A)</w:t>
      </w:r>
    </w:p>
    <w:p w14:paraId="39A4115C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Script: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“That’s the complete flow—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 → consent → resolve → refresh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with precise ownership, endpoint names, and UX behaviors.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A few suggested questions to guide discussion:</w:t>
      </w:r>
    </w:p>
    <w:p w14:paraId="663ABBE1" w14:textId="77777777" w:rsidR="00475BEA" w:rsidRPr="00475BEA" w:rsidRDefault="00475BEA" w:rsidP="00475B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Do we prefer one combined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 + resolve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action if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supports it, or keep two calls for clarity and retries?</w:t>
      </w:r>
    </w:p>
    <w:p w14:paraId="76468F2F" w14:textId="77777777" w:rsidR="00475BEA" w:rsidRPr="00475BEA" w:rsidRDefault="00475BEA" w:rsidP="00475B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Are there plan or member cohorts where we should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hide the CTA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behind a feature flag initially?</w:t>
      </w:r>
    </w:p>
    <w:p w14:paraId="0BF00639" w14:textId="77777777" w:rsidR="00475BEA" w:rsidRPr="00475BEA" w:rsidRDefault="00475BEA" w:rsidP="00475B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edge cases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: multiple RX items on one order, partial releases, or payment method constraints we need to design for?</w:t>
      </w:r>
    </w:p>
    <w:p w14:paraId="122B6DD6" w14:textId="77777777" w:rsidR="00475BEA" w:rsidRPr="00475BEA" w:rsidRDefault="00475BEA" w:rsidP="00475BE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Do we have clear error copy for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five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provider error codes and a mapping table ready for UX?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br/>
        <w:t>Happy to dive into any part of the sequence or show a live mock of the request/response flow.”</w:t>
      </w:r>
    </w:p>
    <w:p w14:paraId="272155E7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0DB46C92">
          <v:rect id="_x0000_i1027" alt="" style="width:461pt;height:.05pt;mso-width-percent:0;mso-height-percent:0;mso-width-percent:0;mso-height-percent:0" o:hrpct="985" o:hralign="center" o:hrstd="t" o:hr="t" fillcolor="#a0a0a0" stroked="f"/>
        </w:pict>
      </w:r>
    </w:p>
    <w:p w14:paraId="44E94A5F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Presenter Tips (use as notes while presenting)</w:t>
      </w:r>
    </w:p>
    <w:p w14:paraId="44D6F4FB" w14:textId="77777777" w:rsidR="00475BEA" w:rsidRPr="00475BEA" w:rsidRDefault="00475BEA" w:rsidP="00475B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budgeting:</w:t>
      </w:r>
    </w:p>
    <w:p w14:paraId="05810C31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Slides 1–5: ~8 minutes (context + flow)</w:t>
      </w:r>
    </w:p>
    <w:p w14:paraId="42BD6075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Slides 6–8: ~4 minutes (errors + contracts)</w:t>
      </w:r>
    </w:p>
    <w:p w14:paraId="762A4C3B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Slides 9–11: ~5 minutes (UX + Eng + NFRs)</w:t>
      </w:r>
    </w:p>
    <w:p w14:paraId="4FBB6A92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Slides 12–15: ~5 minutes (deps, risks, sizing, timeline)</w:t>
      </w:r>
    </w:p>
    <w:p w14:paraId="63F435AF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Slides 16–19: ~5 minutes (screenshots mapping)</w:t>
      </w:r>
    </w:p>
    <w:p w14:paraId="2ABC61D4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Slide 20 + Q&amp;A: ~3–5 minutes</w:t>
      </w:r>
    </w:p>
    <w:p w14:paraId="1801C108" w14:textId="77777777" w:rsidR="00475BEA" w:rsidRPr="00475BEA" w:rsidRDefault="00475BEA" w:rsidP="00475B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phrases to reinforce:</w:t>
      </w:r>
    </w:p>
    <w:p w14:paraId="16572088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new PBM endpoints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;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is existing;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is Aetna proxy.”</w:t>
      </w:r>
    </w:p>
    <w:p w14:paraId="2787C5F8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“Gating on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ELIGIBLE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PAYMENT_HOLD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reason=54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before showing CTA.”</w:t>
      </w:r>
    </w:p>
    <w:p w14:paraId="1EC2764A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Idempotency-Key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 POSTs;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X-Trace-Id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everywhere;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for every attempt.”</w:t>
      </w:r>
    </w:p>
    <w:p w14:paraId="2540BB64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“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only on 5xx/429;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retry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 4xx validation.”</w:t>
      </w:r>
    </w:p>
    <w:p w14:paraId="3F61C23F" w14:textId="77777777" w:rsidR="00475BEA" w:rsidRPr="00475BEA" w:rsidRDefault="00475BEA" w:rsidP="00475BE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Where teams act:</w:t>
      </w:r>
    </w:p>
    <w:p w14:paraId="2465B957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UX: CTA gating, consent dialog copy, errors, accessibility.</w:t>
      </w:r>
    </w:p>
    <w:p w14:paraId="6D83F8E6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Portal Eng: REST client, headers, retries, cache purge, audit.</w:t>
      </w:r>
    </w:p>
    <w:p w14:paraId="7AF07587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/v1 Team: OAuth2 to </w:t>
      </w:r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475BE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logging/metrics, error mapping, contract tests.</w:t>
      </w:r>
    </w:p>
    <w:p w14:paraId="75D9C47C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QA: seeded reason=54 cases, happy/edge/error automation.</w:t>
      </w:r>
    </w:p>
    <w:p w14:paraId="3E53C068" w14:textId="77777777" w:rsidR="00475BEA" w:rsidRPr="00475BEA" w:rsidRDefault="00475BEA" w:rsidP="00475BE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Ops: dashboards (success rate, retries, time-to-release), alerts.</w:t>
      </w:r>
    </w:p>
    <w:p w14:paraId="2E093D42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5DB5D144">
          <v:rect id="_x0000_i1026" alt="" style="width:461pt;height:.05pt;mso-width-percent:0;mso-height-percent:0;mso-width-percent:0;mso-height-percent:0" o:hrpct="985" o:hralign="center" o:hrstd="t" o:hr="t" fillcolor="#a0a0a0" stroked="f"/>
        </w:pict>
      </w:r>
    </w:p>
    <w:p w14:paraId="337FE0E6" w14:textId="77777777" w:rsidR="00475BEA" w:rsidRPr="00475BEA" w:rsidRDefault="00475BEA" w:rsidP="00475B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75BE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One-page recap for the room (read or display verbally)</w:t>
      </w:r>
    </w:p>
    <w:p w14:paraId="4BE39BD0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“Members with a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Hold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on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PBM mail-order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can fix it themselves: the portal checks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eligibility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collects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and payment confirmation, calls PBM to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resolve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, then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refreshes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status, purges cache, and writes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. We use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/v1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as our proxy and call existing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proofErr w:type="spellStart"/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cvs</w:t>
      </w:r>
      <w:proofErr w:type="spell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routes—no new PBM endpoints. The UX is conditional on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reason=54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>, error handling is member-friendly with retries on server errors only, and everything is idempotent and observable. The deck enumerates the exact routes, examples, non-functionals, risks, and a five-week strawman so each team can size work with confidence.”</w:t>
      </w:r>
    </w:p>
    <w:p w14:paraId="75DD669B" w14:textId="77777777" w:rsidR="00475BEA" w:rsidRPr="00475BEA" w:rsidRDefault="002B6BC8" w:rsidP="00475BE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B6BC8">
        <w:rPr>
          <w:rFonts w:ascii="Times New Roman" w:eastAsia="Times New Roman" w:hAnsi="Times New Roman" w:cs="Times New Roman"/>
          <w:noProof/>
          <w:kern w:val="0"/>
        </w:rPr>
        <w:pict w14:anchorId="2329F628">
          <v:rect id="_x0000_i1025" alt="" style="width:461pt;height:.05pt;mso-width-percent:0;mso-height-percent:0;mso-width-percent:0;mso-height-percent:0" o:hrpct="985" o:hralign="center" o:hrstd="t" o:hr="t" fillcolor="#a0a0a0" stroked="f"/>
        </w:pict>
      </w:r>
    </w:p>
    <w:p w14:paraId="49B645AA" w14:textId="77777777" w:rsidR="00475BEA" w:rsidRPr="00475BEA" w:rsidRDefault="00475BEA" w:rsidP="00475B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 can paste this script into the </w:t>
      </w:r>
      <w:r w:rsidRPr="00475BE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</w:t>
      </w:r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field of each slide in the merged </w:t>
      </w:r>
      <w:proofErr w:type="gramStart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>deck</w:t>
      </w:r>
      <w:proofErr w:type="gramEnd"/>
      <w:r w:rsidRPr="00475BEA">
        <w:rPr>
          <w:rFonts w:ascii="Times New Roman" w:eastAsia="Times New Roman" w:hAnsi="Times New Roman" w:cs="Times New Roman"/>
          <w:kern w:val="0"/>
          <w14:ligatures w14:val="none"/>
        </w:rPr>
        <w:t xml:space="preserve"> so speakers see it during the presentation.</w:t>
      </w:r>
    </w:p>
    <w:p w14:paraId="60B8BB12" w14:textId="77777777" w:rsidR="00475BEA" w:rsidRDefault="00475BEA"/>
    <w:sectPr w:rsidR="00475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355"/>
    <w:multiLevelType w:val="multilevel"/>
    <w:tmpl w:val="4A98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31E2"/>
    <w:multiLevelType w:val="multilevel"/>
    <w:tmpl w:val="DC44A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339FA"/>
    <w:multiLevelType w:val="multilevel"/>
    <w:tmpl w:val="E246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27DEE"/>
    <w:multiLevelType w:val="multilevel"/>
    <w:tmpl w:val="CE1A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D6C73"/>
    <w:multiLevelType w:val="multilevel"/>
    <w:tmpl w:val="A91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970D7"/>
    <w:multiLevelType w:val="multilevel"/>
    <w:tmpl w:val="5CB6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629BD"/>
    <w:multiLevelType w:val="multilevel"/>
    <w:tmpl w:val="0A32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36E86"/>
    <w:multiLevelType w:val="multilevel"/>
    <w:tmpl w:val="98F6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51979"/>
    <w:multiLevelType w:val="multilevel"/>
    <w:tmpl w:val="98A4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84DAA"/>
    <w:multiLevelType w:val="multilevel"/>
    <w:tmpl w:val="92D4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0C346C"/>
    <w:multiLevelType w:val="multilevel"/>
    <w:tmpl w:val="B1DE4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417A79"/>
    <w:multiLevelType w:val="multilevel"/>
    <w:tmpl w:val="853CB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14076C"/>
    <w:multiLevelType w:val="multilevel"/>
    <w:tmpl w:val="D842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D3956"/>
    <w:multiLevelType w:val="multilevel"/>
    <w:tmpl w:val="D27A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813BDF"/>
    <w:multiLevelType w:val="multilevel"/>
    <w:tmpl w:val="3A9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413540"/>
    <w:multiLevelType w:val="multilevel"/>
    <w:tmpl w:val="16A0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BA2BCC"/>
    <w:multiLevelType w:val="multilevel"/>
    <w:tmpl w:val="D6AE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B0DB7"/>
    <w:multiLevelType w:val="multilevel"/>
    <w:tmpl w:val="8C46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A5069"/>
    <w:multiLevelType w:val="multilevel"/>
    <w:tmpl w:val="32B6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27C26"/>
    <w:multiLevelType w:val="multilevel"/>
    <w:tmpl w:val="0696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D3C59C8"/>
    <w:multiLevelType w:val="multilevel"/>
    <w:tmpl w:val="279CD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006D1"/>
    <w:multiLevelType w:val="multilevel"/>
    <w:tmpl w:val="7610C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E456C"/>
    <w:multiLevelType w:val="multilevel"/>
    <w:tmpl w:val="25AA2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3A15AC"/>
    <w:multiLevelType w:val="multilevel"/>
    <w:tmpl w:val="2B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500833">
    <w:abstractNumId w:val="8"/>
  </w:num>
  <w:num w:numId="2" w16cid:durableId="232787036">
    <w:abstractNumId w:val="16"/>
  </w:num>
  <w:num w:numId="3" w16cid:durableId="1228223385">
    <w:abstractNumId w:val="13"/>
  </w:num>
  <w:num w:numId="4" w16cid:durableId="944340799">
    <w:abstractNumId w:val="10"/>
  </w:num>
  <w:num w:numId="5" w16cid:durableId="962350614">
    <w:abstractNumId w:val="23"/>
  </w:num>
  <w:num w:numId="6" w16cid:durableId="1076591980">
    <w:abstractNumId w:val="21"/>
  </w:num>
  <w:num w:numId="7" w16cid:durableId="696587006">
    <w:abstractNumId w:val="17"/>
  </w:num>
  <w:num w:numId="8" w16cid:durableId="999041035">
    <w:abstractNumId w:val="12"/>
  </w:num>
  <w:num w:numId="9" w16cid:durableId="1666204138">
    <w:abstractNumId w:val="22"/>
  </w:num>
  <w:num w:numId="10" w16cid:durableId="2137410900">
    <w:abstractNumId w:val="20"/>
  </w:num>
  <w:num w:numId="11" w16cid:durableId="1391076144">
    <w:abstractNumId w:val="14"/>
  </w:num>
  <w:num w:numId="12" w16cid:durableId="153960960">
    <w:abstractNumId w:val="5"/>
  </w:num>
  <w:num w:numId="13" w16cid:durableId="1469785757">
    <w:abstractNumId w:val="9"/>
  </w:num>
  <w:num w:numId="14" w16cid:durableId="1610314687">
    <w:abstractNumId w:val="0"/>
  </w:num>
  <w:num w:numId="15" w16cid:durableId="152796646">
    <w:abstractNumId w:val="7"/>
  </w:num>
  <w:num w:numId="16" w16cid:durableId="654796437">
    <w:abstractNumId w:val="11"/>
  </w:num>
  <w:num w:numId="17" w16cid:durableId="1821117684">
    <w:abstractNumId w:val="3"/>
  </w:num>
  <w:num w:numId="18" w16cid:durableId="1443451448">
    <w:abstractNumId w:val="6"/>
  </w:num>
  <w:num w:numId="19" w16cid:durableId="1883638590">
    <w:abstractNumId w:val="18"/>
  </w:num>
  <w:num w:numId="20" w16cid:durableId="320736475">
    <w:abstractNumId w:val="1"/>
  </w:num>
  <w:num w:numId="21" w16cid:durableId="2076469912">
    <w:abstractNumId w:val="15"/>
  </w:num>
  <w:num w:numId="22" w16cid:durableId="830222818">
    <w:abstractNumId w:val="4"/>
  </w:num>
  <w:num w:numId="23" w16cid:durableId="185098180">
    <w:abstractNumId w:val="19"/>
  </w:num>
  <w:num w:numId="24" w16cid:durableId="10672207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G1ABLmxmbm5maWlko6SsGpxcWZ+XkgBYa1AOAzc2ksAAAA"/>
  </w:docVars>
  <w:rsids>
    <w:rsidRoot w:val="00475BEA"/>
    <w:rsid w:val="002320E2"/>
    <w:rsid w:val="002B6BC8"/>
    <w:rsid w:val="0035620D"/>
    <w:rsid w:val="00475BEA"/>
    <w:rsid w:val="00887D3F"/>
    <w:rsid w:val="00A1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1CC29"/>
  <w15:chartTrackingRefBased/>
  <w15:docId w15:val="{68DFDE4C-2CE1-491F-A625-7A95B79C8A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B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5B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B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B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B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B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B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B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B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5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5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B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B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B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B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B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B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B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B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B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B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B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B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BE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5B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5BE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75B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2144</Words>
  <Characters>12223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Amram Dworkin</dc:creator>
  <cp:keywords/>
  <dc:description/>
  <cp:lastModifiedBy>Dworkin, Amram</cp:lastModifiedBy>
  <cp:revision>3</cp:revision>
  <dcterms:created xsi:type="dcterms:W3CDTF">2025-10-10T15:34:00Z</dcterms:created>
  <dcterms:modified xsi:type="dcterms:W3CDTF">2025-10-14T17:51:00Z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2025-10-14T17:51:25Z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0e6e9176-b9a5-4c55-a217-0cd15821688b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