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Caremark–Aetna Service Integration Framework Agreement</w:t>
      </w:r>
    </w:p>
    <w:p>
      <w:r>
        <w:t>Effective Date: August 7, 2025</w:t>
        <w:br/>
        <w:t>Version: 8.0 (Final for Execution)</w:t>
      </w:r>
    </w:p>
    <w:p>
      <w:pPr>
        <w:pStyle w:val="Heading1"/>
      </w:pPr>
      <w:r>
        <w:t>Section 1: Introduction &amp; Core Concepts</w:t>
      </w:r>
    </w:p>
    <w:p>
      <w:r>
        <w:t>This initial section defines the framework, entities, and shared language for Caremark as provider and Aetna as consumer.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Framework Agreement</w:t>
            </w:r>
          </w:p>
        </w:tc>
        <w:tc>
          <w:tcPr>
            <w:tcW w:type="dxa" w:w="2880"/>
          </w:tcPr>
          <w:p>
            <w:r>
              <w:t>Predictable integration model ensuring reliable consumption at enterprise scale</w:t>
            </w:r>
          </w:p>
        </w:tc>
        <w:tc>
          <w:tcPr>
            <w:tcW w:type="dxa" w:w="2880"/>
          </w:tcPr>
          <w:p>
            <w:r>
              <w:t>Standardized, high-quality access to pharmacy services with predictable delivery</w:t>
            </w:r>
          </w:p>
        </w:tc>
      </w:tr>
    </w:tbl>
    <w:p>
      <w:pPr>
        <w:pStyle w:val="Heading1"/>
      </w:pPr>
      <w:r>
        <w:t>Section 2: Governance, Personnel, &amp; Service Level Commitments</w:t>
      </w:r>
    </w:p>
    <w:p>
      <w:r>
        <w:t>Defines service-level metrics, personnel responsibilities, escalation handling, and communications protocols.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Service Level Commitments (uptime, latency, response times)</w:t>
            </w:r>
          </w:p>
        </w:tc>
        <w:tc>
          <w:tcPr>
            <w:tcW w:type="dxa" w:w="2880"/>
          </w:tcPr>
          <w:p>
            <w:r>
              <w:t>Establishes clear responsibility boundaries, aligns with internal policies</w:t>
            </w:r>
          </w:p>
        </w:tc>
        <w:tc>
          <w:tcPr>
            <w:tcW w:type="dxa" w:w="2880"/>
          </w:tcPr>
          <w:p>
            <w:r>
              <w:t>Guarantees uptime and response standards, protecting member experience and compliance</w:t>
            </w:r>
          </w:p>
        </w:tc>
      </w:tr>
    </w:tbl>
    <w:p>
      <w:pPr>
        <w:pStyle w:val="Heading1"/>
      </w:pPr>
      <w:r>
        <w:t>Section 3: Feature Integration Lifecycle Framework</w:t>
      </w:r>
    </w:p>
    <w:p>
      <w:r>
        <w:t>Framework for how CVS and Aetna collaborate on new integrations, including intake, refinement, sizing, and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Phase 1: Feature Onboarding</w:t>
            </w:r>
          </w:p>
        </w:tc>
        <w:tc>
          <w:tcPr>
            <w:tcW w:type="dxa" w:w="2880"/>
          </w:tcPr>
          <w:p>
            <w:r>
              <w:t>Early clarity on scope reduces rework, protects resources</w:t>
            </w:r>
          </w:p>
        </w:tc>
        <w:tc>
          <w:tcPr>
            <w:tcW w:type="dxa" w:w="2880"/>
          </w:tcPr>
          <w:p>
            <w:r>
              <w:t>Ensures business cases directly translate into member-facing value</w:t>
            </w:r>
          </w:p>
        </w:tc>
      </w:tr>
      <w:tr>
        <w:tc>
          <w:tcPr>
            <w:tcW w:type="dxa" w:w="2880"/>
          </w:tcPr>
          <w:p>
            <w:r>
              <w:t>Phase 2: Feature Refinement (External)</w:t>
            </w:r>
          </w:p>
        </w:tc>
        <w:tc>
          <w:tcPr>
            <w:tcW w:type="dxa" w:w="2880"/>
          </w:tcPr>
          <w:p>
            <w:r>
              <w:t>Captures CVS system/API impacts early, avoids scope creep</w:t>
            </w:r>
          </w:p>
        </w:tc>
        <w:tc>
          <w:tcPr>
            <w:tcW w:type="dxa" w:w="2880"/>
          </w:tcPr>
          <w:p>
            <w:r>
              <w:t>Secures CVS commitment and reduces delivery risk</w:t>
            </w:r>
          </w:p>
        </w:tc>
      </w:tr>
      <w:tr>
        <w:tc>
          <w:tcPr>
            <w:tcW w:type="dxa" w:w="2880"/>
          </w:tcPr>
          <w:p>
            <w:r>
              <w:t>Phase 3: Aetna Internal Assessment</w:t>
            </w:r>
          </w:p>
        </w:tc>
        <w:tc>
          <w:tcPr>
            <w:tcW w:type="dxa" w:w="2880"/>
          </w:tcPr>
          <w:p>
            <w:r>
              <w:t>Receives precise intake requests, minimizing ambiguity</w:t>
            </w:r>
          </w:p>
        </w:tc>
        <w:tc>
          <w:tcPr>
            <w:tcW w:type="dxa" w:w="2880"/>
          </w:tcPr>
          <w:p>
            <w:r>
              <w:t>Ensures internal alignment and explicit CVS support obligations</w:t>
            </w:r>
          </w:p>
        </w:tc>
      </w:tr>
      <w:tr>
        <w:tc>
          <w:tcPr>
            <w:tcW w:type="dxa" w:w="2880"/>
          </w:tcPr>
          <w:p>
            <w:r>
              <w:t>Phase 4: Sizing &amp; Assignment</w:t>
            </w:r>
          </w:p>
        </w:tc>
        <w:tc>
          <w:tcPr>
            <w:tcW w:type="dxa" w:w="2880"/>
          </w:tcPr>
          <w:p>
            <w:r>
              <w:t>Protects CVS capacity by gating commitment</w:t>
            </w:r>
          </w:p>
        </w:tc>
        <w:tc>
          <w:tcPr>
            <w:tcW w:type="dxa" w:w="2880"/>
          </w:tcPr>
          <w:p>
            <w:r>
              <w:t>Guarantees PI planning is grounded in confirmed commitments</w:t>
            </w:r>
          </w:p>
        </w:tc>
      </w:tr>
      <w:tr>
        <w:tc>
          <w:tcPr>
            <w:tcW w:type="dxa" w:w="2880"/>
          </w:tcPr>
          <w:p>
            <w:r>
              <w:t>Phase N: Planning &amp; Execution</w:t>
            </w:r>
          </w:p>
        </w:tc>
        <w:tc>
          <w:tcPr>
            <w:tcW w:type="dxa" w:w="2880"/>
          </w:tcPr>
          <w:p>
            <w:r>
              <w:t>Cross-team dependency visibility reduces risk</w:t>
            </w:r>
          </w:p>
        </w:tc>
        <w:tc>
          <w:tcPr>
            <w:tcW w:type="dxa" w:w="2880"/>
          </w:tcPr>
          <w:p>
            <w:r>
              <w:t>Ensures iterative integration and member-ready releases</w:t>
            </w:r>
          </w:p>
        </w:tc>
      </w:tr>
    </w:tbl>
    <w:p>
      <w:pPr>
        <w:pStyle w:val="Heading1"/>
      </w:pPr>
      <w:r>
        <w:t>Section 4: Runtime Technical Protocol</w:t>
      </w:r>
    </w:p>
    <w:p>
      <w:r>
        <w:t>Defines secure and standardized technical contracts for machine-to-machine interactions.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Secure APIs, Observability, Rate Limits, Standardized Contracts</w:t>
            </w:r>
          </w:p>
        </w:tc>
        <w:tc>
          <w:tcPr>
            <w:tcW w:type="dxa" w:w="2880"/>
          </w:tcPr>
          <w:p>
            <w:r>
              <w:t>Protects service stability, prevents abuse, ensures auditability</w:t>
            </w:r>
          </w:p>
        </w:tc>
        <w:tc>
          <w:tcPr>
            <w:tcW w:type="dxa" w:w="2880"/>
          </w:tcPr>
          <w:p>
            <w:r>
              <w:t>Safeguards member data, ensures predictable integrations, reduces engineering complexity</w:t>
            </w:r>
          </w:p>
        </w:tc>
      </w:tr>
    </w:tbl>
    <w:p>
      <w:pPr>
        <w:pStyle w:val="Heading1"/>
      </w:pPr>
      <w:r>
        <w:t>Section 5: Service Evolution &amp; Versioning</w:t>
      </w:r>
    </w:p>
    <w:p>
      <w:r>
        <w:t>Framework for managing lifecycle changes, including breaking and non-breaking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Semantic Versioning, Defined Timelines</w:t>
            </w:r>
          </w:p>
        </w:tc>
        <w:tc>
          <w:tcPr>
            <w:tcW w:type="dxa" w:w="2880"/>
          </w:tcPr>
          <w:p>
            <w:r>
              <w:t>Retains flexibility to evolve while managing enterprise risk</w:t>
            </w:r>
          </w:p>
        </w:tc>
        <w:tc>
          <w:tcPr>
            <w:tcW w:type="dxa" w:w="2880"/>
          </w:tcPr>
          <w:p>
            <w:r>
              <w:t>Provides predictability, testing windows, and protection against unplanned disruption</w:t>
            </w:r>
          </w:p>
        </w:tc>
      </w:tr>
    </w:tbl>
    <w:p>
      <w:pPr>
        <w:pStyle w:val="Heading1"/>
      </w:pPr>
      <w:r>
        <w:t>Section 6: Service Retirement &amp; Sunsetting</w:t>
      </w:r>
    </w:p>
    <w:p>
      <w:r>
        <w:t>Framework for predictable service retirement, ensuring continuity for members.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Predictable Sunset Framework</w:t>
            </w:r>
          </w:p>
        </w:tc>
        <w:tc>
          <w:tcPr>
            <w:tcW w:type="dxa" w:w="2880"/>
          </w:tcPr>
          <w:p>
            <w:r>
              <w:t>Smooth transition off legacy systems</w:t>
            </w:r>
          </w:p>
        </w:tc>
        <w:tc>
          <w:tcPr>
            <w:tcW w:type="dxa" w:w="2880"/>
          </w:tcPr>
          <w:p>
            <w:r>
              <w:t>Predictable migration windows protect compliance and member continuity</w:t>
            </w:r>
          </w:p>
        </w:tc>
      </w:tr>
    </w:tbl>
    <w:p>
      <w:pPr>
        <w:pStyle w:val="Heading1"/>
      </w:pPr>
      <w:r>
        <w:t>Section 7: Agreement &amp; Execution</w:t>
      </w:r>
    </w:p>
    <w:p>
      <w:r>
        <w:t>Binding legal agreement governed under Delaware law.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Integration Framework Agreement, Governing Law, Execution</w:t>
            </w:r>
          </w:p>
        </w:tc>
        <w:tc>
          <w:tcPr>
            <w:tcW w:type="dxa" w:w="2880"/>
          </w:tcPr>
          <w:p>
            <w:r>
              <w:t>Provides enforceable clarity, reduces disputes</w:t>
            </w:r>
          </w:p>
        </w:tc>
        <w:tc>
          <w:tcPr>
            <w:tcW w:type="dxa" w:w="2880"/>
          </w:tcPr>
          <w:p>
            <w:r>
              <w:t>Ensures contractual protections against unilateral changes</w:t>
            </w:r>
          </w:p>
        </w:tc>
      </w:tr>
    </w:tbl>
    <w:p>
      <w:pPr>
        <w:pStyle w:val="Heading1"/>
      </w:pPr>
      <w:r>
        <w:t>Appendix: Process Gap Solutions</w:t>
      </w:r>
    </w:p>
    <w:p>
      <w:r>
        <w:t>Provides solutions to address process gaps in integration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Agreement Point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CVS (Provider)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 to Aetna (Consumer)</w:t>
            </w:r>
          </w:p>
        </w:tc>
      </w:tr>
      <w:tr>
        <w:tc>
          <w:tcPr>
            <w:tcW w:type="dxa" w:w="2880"/>
          </w:tcPr>
          <w:p>
            <w:r>
              <w:t>Gap 1: Mandated technical lead presence</w:t>
            </w:r>
          </w:p>
        </w:tc>
        <w:tc>
          <w:tcPr>
            <w:tcW w:type="dxa" w:w="2880"/>
          </w:tcPr>
          <w:p>
            <w:r>
              <w:t>Avoids downstream rework</w:t>
            </w:r>
          </w:p>
        </w:tc>
        <w:tc>
          <w:tcPr>
            <w:tcW w:type="dxa" w:w="2880"/>
          </w:tcPr>
          <w:p>
            <w:r>
              <w:t>Early risk identification</w:t>
            </w:r>
          </w:p>
        </w:tc>
      </w:tr>
      <w:tr>
        <w:tc>
          <w:tcPr>
            <w:tcW w:type="dxa" w:w="2880"/>
          </w:tcPr>
          <w:p>
            <w:r>
              <w:t>Gap 2: Mandatory RACI exit criterion</w:t>
            </w:r>
          </w:p>
        </w:tc>
        <w:tc>
          <w:tcPr>
            <w:tcW w:type="dxa" w:w="2880"/>
          </w:tcPr>
          <w:p>
            <w:r>
              <w:t>Ensures accountability clarity</w:t>
            </w:r>
          </w:p>
        </w:tc>
        <w:tc>
          <w:tcPr>
            <w:tcW w:type="dxa" w:w="2880"/>
          </w:tcPr>
          <w:p>
            <w:r>
              <w:t>Prevents ownership gaps</w:t>
            </w:r>
          </w:p>
        </w:tc>
      </w:tr>
      <w:tr>
        <w:tc>
          <w:tcPr>
            <w:tcW w:type="dxa" w:w="2880"/>
          </w:tcPr>
          <w:p>
            <w:r>
              <w:t>Gap 3: Intake Request includes Support &amp; Ops</w:t>
            </w:r>
          </w:p>
        </w:tc>
        <w:tc>
          <w:tcPr>
            <w:tcW w:type="dxa" w:w="2880"/>
          </w:tcPr>
          <w:p>
            <w:r>
              <w:t>Operational impacts explicitly scoped</w:t>
            </w:r>
          </w:p>
        </w:tc>
        <w:tc>
          <w:tcPr>
            <w:tcW w:type="dxa" w:w="2880"/>
          </w:tcPr>
          <w:p>
            <w:r>
              <w:t>Supportability guaranteed</w:t>
            </w:r>
          </w:p>
        </w:tc>
      </w:tr>
      <w:tr>
        <w:tc>
          <w:tcPr>
            <w:tcW w:type="dxa" w:w="2880"/>
          </w:tcPr>
          <w:p>
            <w:r>
              <w:t>Gap 4: Intake Request acceptance gate</w:t>
            </w:r>
          </w:p>
        </w:tc>
        <w:tc>
          <w:tcPr>
            <w:tcW w:type="dxa" w:w="2880"/>
          </w:tcPr>
          <w:p>
            <w:r>
              <w:t>Ensures CVS resource control</w:t>
            </w:r>
          </w:p>
        </w:tc>
        <w:tc>
          <w:tcPr>
            <w:tcW w:type="dxa" w:w="2880"/>
          </w:tcPr>
          <w:p>
            <w:r>
              <w:t>Prevents uncommitted features from entering PI</w:t>
            </w:r>
          </w:p>
        </w:tc>
      </w:tr>
    </w:tbl>
    <w:p>
      <w:pPr>
        <w:pStyle w:val="Heading1"/>
      </w:pPr>
      <w:r>
        <w:t>Signatures</w:t>
      </w:r>
    </w:p>
    <w:p>
      <w:r>
        <w:t>For CVS Caremark (Service Provider)</w:t>
        <w:br/>
        <w:br/>
        <w:t>By: ______________________________</w:t>
        <w:br/>
        <w:t>Name: ___________________________</w:t>
        <w:br/>
        <w:t>Title: ___________________________</w:t>
        <w:br/>
        <w:t>Date: ___________________________</w:t>
        <w:br/>
      </w:r>
    </w:p>
    <w:p>
      <w:r>
        <w:t>For Aetna (Service Consumer)</w:t>
        <w:br/>
        <w:br/>
        <w:t>By: ______________________________</w:t>
        <w:br/>
        <w:t>Name: ___________________________</w:t>
        <w:br/>
        <w:t>Title: ___________________________</w:t>
        <w:br/>
        <w:t>Date: 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