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Caremark–Aetna Service Integration Framework (Value Proposition Rewrite)</w:t>
      </w:r>
    </w:p>
    <w:p>
      <w:pPr>
        <w:pStyle w:val="Heading1"/>
      </w:pPr>
      <w:r>
        <w:t>Section 1: Introduction &amp; Core Concepts</w:t>
      </w:r>
    </w:p>
    <w:p>
      <w:r>
        <w:t>This initial section defines the framework, entities, and shared language.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Framework agreement between CVS Caremark (provider) and Aetna (consumer)</w:t>
            </w:r>
          </w:p>
        </w:tc>
        <w:tc>
          <w:tcPr>
            <w:tcW w:type="dxa" w:w="2880"/>
          </w:tcPr>
          <w:p>
            <w:r>
              <w:t>Predictable integration model ensuring reliable service consumption at scale</w:t>
            </w:r>
          </w:p>
        </w:tc>
        <w:tc>
          <w:tcPr>
            <w:tcW w:type="dxa" w:w="2880"/>
          </w:tcPr>
          <w:p>
            <w:r>
              <w:t>Standardized access to pharmacy services, reducing ambiguity and ensuring predictable delivery</w:t>
            </w:r>
          </w:p>
        </w:tc>
      </w:tr>
    </w:tbl>
    <w:p>
      <w:pPr>
        <w:pStyle w:val="Heading1"/>
      </w:pPr>
      <w:r>
        <w:t>Section 2: Governance, Personnel, &amp; Service Level Commitments</w:t>
      </w:r>
    </w:p>
    <w:p>
      <w:r>
        <w:t>Defines service-level metrics, personnel responsibilities, and communications protocols.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Service Level Commitments (uptime, latency, response times)</w:t>
            </w:r>
          </w:p>
        </w:tc>
        <w:tc>
          <w:tcPr>
            <w:tcW w:type="dxa" w:w="2880"/>
          </w:tcPr>
          <w:p>
            <w:r>
              <w:t>Clear boundaries, protection from escalation loops, alignment with policies</w:t>
            </w:r>
          </w:p>
        </w:tc>
        <w:tc>
          <w:tcPr>
            <w:tcW w:type="dxa" w:w="2880"/>
          </w:tcPr>
          <w:p>
            <w:r>
              <w:t>Guaranteed uptime and response, protecting member experience and compliance</w:t>
            </w:r>
          </w:p>
        </w:tc>
      </w:tr>
    </w:tbl>
    <w:p>
      <w:pPr>
        <w:pStyle w:val="Heading1"/>
      </w:pPr>
      <w:r>
        <w:t>Section 3: Feature Integration Lifecycle Framework</w:t>
      </w:r>
    </w:p>
    <w:p>
      <w:r>
        <w:t>Framework for how CVS and Aetna collaborate on new integrations, with multiple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Phase 1: Feature Onboarding</w:t>
            </w:r>
          </w:p>
        </w:tc>
        <w:tc>
          <w:tcPr>
            <w:tcW w:type="dxa" w:w="2880"/>
          </w:tcPr>
          <w:p>
            <w:r>
              <w:t>Clarity on scope reduces rework, protects resource allocation</w:t>
            </w:r>
          </w:p>
        </w:tc>
        <w:tc>
          <w:tcPr>
            <w:tcW w:type="dxa" w:w="2880"/>
          </w:tcPr>
          <w:p>
            <w:r>
              <w:t>Ensures business cases become member-value features</w:t>
            </w:r>
          </w:p>
        </w:tc>
      </w:tr>
      <w:tr>
        <w:tc>
          <w:tcPr>
            <w:tcW w:type="dxa" w:w="2880"/>
          </w:tcPr>
          <w:p>
            <w:r>
              <w:t>Phase 2: Feature Refinement (External)</w:t>
            </w:r>
          </w:p>
        </w:tc>
        <w:tc>
          <w:tcPr>
            <w:tcW w:type="dxa" w:w="2880"/>
          </w:tcPr>
          <w:p>
            <w:r>
              <w:t>Captures API/system impacts early, avoids scope creep</w:t>
            </w:r>
          </w:p>
        </w:tc>
        <w:tc>
          <w:tcPr>
            <w:tcW w:type="dxa" w:w="2880"/>
          </w:tcPr>
          <w:p>
            <w:r>
              <w:t>Secures CVS commitment, reduces delivery risk</w:t>
            </w:r>
          </w:p>
        </w:tc>
      </w:tr>
      <w:tr>
        <w:tc>
          <w:tcPr>
            <w:tcW w:type="dxa" w:w="2880"/>
          </w:tcPr>
          <w:p>
            <w:r>
              <w:t>Phase 3: Internal Assessment (Aetna)</w:t>
            </w:r>
          </w:p>
        </w:tc>
        <w:tc>
          <w:tcPr>
            <w:tcW w:type="dxa" w:w="2880"/>
          </w:tcPr>
          <w:p>
            <w:r>
              <w:t>Precise intake requests minimize ambiguity</w:t>
            </w:r>
          </w:p>
        </w:tc>
        <w:tc>
          <w:tcPr>
            <w:tcW w:type="dxa" w:w="2880"/>
          </w:tcPr>
          <w:p>
            <w:r>
              <w:t>Controls architecture alignment and ensures support obligations</w:t>
            </w:r>
          </w:p>
        </w:tc>
      </w:tr>
      <w:tr>
        <w:tc>
          <w:tcPr>
            <w:tcW w:type="dxa" w:w="2880"/>
          </w:tcPr>
          <w:p>
            <w:r>
              <w:t>Phase 4: Aetna Feature Sizing &amp; Assignment</w:t>
            </w:r>
          </w:p>
        </w:tc>
        <w:tc>
          <w:tcPr>
            <w:tcW w:type="dxa" w:w="2880"/>
          </w:tcPr>
          <w:p>
            <w:r>
              <w:t>No commitments without CVS sign-off, protects capacity</w:t>
            </w:r>
          </w:p>
        </w:tc>
        <w:tc>
          <w:tcPr>
            <w:tcW w:type="dxa" w:w="2880"/>
          </w:tcPr>
          <w:p>
            <w:r>
              <w:t>Grounds PI planning in confirmed commitments</w:t>
            </w:r>
          </w:p>
        </w:tc>
      </w:tr>
      <w:tr>
        <w:tc>
          <w:tcPr>
            <w:tcW w:type="dxa" w:w="2880"/>
          </w:tcPr>
          <w:p>
            <w:r>
              <w:t>Phase N: Planning &amp; Execution</w:t>
            </w:r>
          </w:p>
        </w:tc>
        <w:tc>
          <w:tcPr>
            <w:tcW w:type="dxa" w:w="2880"/>
          </w:tcPr>
          <w:p>
            <w:r>
              <w:t>Visibility into dependencies reduces risk</w:t>
            </w:r>
          </w:p>
        </w:tc>
        <w:tc>
          <w:tcPr>
            <w:tcW w:type="dxa" w:w="2880"/>
          </w:tcPr>
          <w:p>
            <w:r>
              <w:t>Joint execution reduces defects, ensures successful launches</w:t>
            </w:r>
          </w:p>
        </w:tc>
      </w:tr>
    </w:tbl>
    <w:p>
      <w:pPr>
        <w:pStyle w:val="Heading1"/>
      </w:pPr>
      <w:r>
        <w:t>Section 4: Runtime Technical Protocol</w:t>
      </w:r>
    </w:p>
    <w:p>
      <w:r>
        <w:t>Defines secure and standardized technical contracts for machine-to-machine interactions.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Secure APIs, observability, error handling, pagination, idempotency</w:t>
            </w:r>
          </w:p>
        </w:tc>
        <w:tc>
          <w:tcPr>
            <w:tcW w:type="dxa" w:w="2880"/>
          </w:tcPr>
          <w:p>
            <w:r>
              <w:t>Protects service stability, prevents abuse, ensures auditability</w:t>
            </w:r>
          </w:p>
        </w:tc>
        <w:tc>
          <w:tcPr>
            <w:tcW w:type="dxa" w:w="2880"/>
          </w:tcPr>
          <w:p>
            <w:r>
              <w:t>Delivers secure, predictable patterns that safeguard member data and simplify engineering</w:t>
            </w:r>
          </w:p>
        </w:tc>
      </w:tr>
    </w:tbl>
    <w:p>
      <w:pPr>
        <w:pStyle w:val="Heading1"/>
      </w:pPr>
      <w:r>
        <w:t>Section 5: Service Evolution &amp; Versioning</w:t>
      </w:r>
    </w:p>
    <w:p>
      <w:r>
        <w:t>Framework for managing lifecycle changes, including breaking and non-breaking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Semantic versioning with defined change timelines</w:t>
            </w:r>
          </w:p>
        </w:tc>
        <w:tc>
          <w:tcPr>
            <w:tcW w:type="dxa" w:w="2880"/>
          </w:tcPr>
          <w:p>
            <w:r>
              <w:t>Retains flexibility to evolve while managing enterprise-scale change</w:t>
            </w:r>
          </w:p>
        </w:tc>
        <w:tc>
          <w:tcPr>
            <w:tcW w:type="dxa" w:w="2880"/>
          </w:tcPr>
          <w:p>
            <w:r>
              <w:t>Ensures predictability, lead time, and testing windows to avoid disruption</w:t>
            </w:r>
          </w:p>
        </w:tc>
      </w:tr>
    </w:tbl>
    <w:p>
      <w:pPr>
        <w:pStyle w:val="Heading1"/>
      </w:pPr>
      <w:r>
        <w:t>Section 6: Service Retirement &amp; Sunsetting</w:t>
      </w:r>
    </w:p>
    <w:p>
      <w:r>
        <w:t>Framework for predictable service retirement, ensuring continuity for members.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Minimum deprecation timelines and formal sunset processes</w:t>
            </w:r>
          </w:p>
        </w:tc>
        <w:tc>
          <w:tcPr>
            <w:tcW w:type="dxa" w:w="2880"/>
          </w:tcPr>
          <w:p>
            <w:r>
              <w:t>Smooth transition off legacy systems with controlled impact</w:t>
            </w:r>
          </w:p>
        </w:tc>
        <w:tc>
          <w:tcPr>
            <w:tcW w:type="dxa" w:w="2880"/>
          </w:tcPr>
          <w:p>
            <w:r>
              <w:t>Predictable migration protects compliance and member continuity</w:t>
            </w:r>
          </w:p>
        </w:tc>
      </w:tr>
    </w:tbl>
    <w:p>
      <w:pPr>
        <w:pStyle w:val="Heading1"/>
      </w:pPr>
      <w:r>
        <w:t>Section 7: Agreement &amp; Execution</w:t>
      </w:r>
    </w:p>
    <w:p>
      <w:r>
        <w:t>Binding legal agreement governed under Delaware law.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Integration Framework Agreement, governing law, execution</w:t>
            </w:r>
          </w:p>
        </w:tc>
        <w:tc>
          <w:tcPr>
            <w:tcW w:type="dxa" w:w="2880"/>
          </w:tcPr>
          <w:p>
            <w:r>
              <w:t>Provides enforceable clarity, reduces disputes</w:t>
            </w:r>
          </w:p>
        </w:tc>
        <w:tc>
          <w:tcPr>
            <w:tcW w:type="dxa" w:w="2880"/>
          </w:tcPr>
          <w:p>
            <w:r>
              <w:t>Ensures contractual backing, protecting against unilateral change</w:t>
            </w:r>
          </w:p>
        </w:tc>
      </w:tr>
    </w:tbl>
    <w:p>
      <w:pPr>
        <w:pStyle w:val="Heading1"/>
      </w:pPr>
      <w:r>
        <w:t>Appendix: Process Gap Solutions</w:t>
      </w:r>
    </w:p>
    <w:p>
      <w:r>
        <w:t>Provides solutions to address process gaps in integration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Agreement Point</w:t>
            </w:r>
          </w:p>
        </w:tc>
        <w:tc>
          <w:tcPr>
            <w:tcW w:type="dxa" w:w="2880"/>
          </w:tcPr>
          <w:p>
            <w:r>
              <w:t>Value to CVS</w:t>
            </w:r>
          </w:p>
        </w:tc>
        <w:tc>
          <w:tcPr>
            <w:tcW w:type="dxa" w:w="2880"/>
          </w:tcPr>
          <w:p>
            <w:r>
              <w:t>Value to Aetna</w:t>
            </w:r>
          </w:p>
        </w:tc>
      </w:tr>
      <w:tr>
        <w:tc>
          <w:tcPr>
            <w:tcW w:type="dxa" w:w="2880"/>
          </w:tcPr>
          <w:p>
            <w:r>
              <w:t>Gap 1: Mandated technical lead presence</w:t>
            </w:r>
          </w:p>
        </w:tc>
        <w:tc>
          <w:tcPr>
            <w:tcW w:type="dxa" w:w="2880"/>
          </w:tcPr>
          <w:p>
            <w:r>
              <w:t>Avoids downstream rework</w:t>
            </w:r>
          </w:p>
        </w:tc>
        <w:tc>
          <w:tcPr>
            <w:tcW w:type="dxa" w:w="2880"/>
          </w:tcPr>
          <w:p>
            <w:r>
              <w:t>Early risk identification</w:t>
            </w:r>
          </w:p>
        </w:tc>
      </w:tr>
      <w:tr>
        <w:tc>
          <w:tcPr>
            <w:tcW w:type="dxa" w:w="2880"/>
          </w:tcPr>
          <w:p>
            <w:r>
              <w:t>Gap 2: Mandatory RACI exit criterion</w:t>
            </w:r>
          </w:p>
        </w:tc>
        <w:tc>
          <w:tcPr>
            <w:tcW w:type="dxa" w:w="2880"/>
          </w:tcPr>
          <w:p>
            <w:r>
              <w:t>Ensures accountability clarity</w:t>
            </w:r>
          </w:p>
        </w:tc>
        <w:tc>
          <w:tcPr>
            <w:tcW w:type="dxa" w:w="2880"/>
          </w:tcPr>
          <w:p>
            <w:r>
              <w:t>Protects against ownership gaps</w:t>
            </w:r>
          </w:p>
        </w:tc>
      </w:tr>
      <w:tr>
        <w:tc>
          <w:tcPr>
            <w:tcW w:type="dxa" w:w="2880"/>
          </w:tcPr>
          <w:p>
            <w:r>
              <w:t>Gap 3: Intake Request includes Support &amp; Ops</w:t>
            </w:r>
          </w:p>
        </w:tc>
        <w:tc>
          <w:tcPr>
            <w:tcW w:type="dxa" w:w="2880"/>
          </w:tcPr>
          <w:p>
            <w:r>
              <w:t>Operational impacts scoped explicitly</w:t>
            </w:r>
          </w:p>
        </w:tc>
        <w:tc>
          <w:tcPr>
            <w:tcW w:type="dxa" w:w="2880"/>
          </w:tcPr>
          <w:p>
            <w:r>
              <w:t>Supportability guaranteed</w:t>
            </w:r>
          </w:p>
        </w:tc>
      </w:tr>
      <w:tr>
        <w:tc>
          <w:tcPr>
            <w:tcW w:type="dxa" w:w="2880"/>
          </w:tcPr>
          <w:p>
            <w:r>
              <w:t>Gap 4: Intake Request acceptance gate</w:t>
            </w:r>
          </w:p>
        </w:tc>
        <w:tc>
          <w:tcPr>
            <w:tcW w:type="dxa" w:w="2880"/>
          </w:tcPr>
          <w:p>
            <w:r>
              <w:t>Formal sign-off ensures resource control</w:t>
            </w:r>
          </w:p>
        </w:tc>
        <w:tc>
          <w:tcPr>
            <w:tcW w:type="dxa" w:w="2880"/>
          </w:tcPr>
          <w:p>
            <w:r>
              <w:t>Prevents uncommitted features entering 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