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D659E" w14:textId="77777777" w:rsidR="008446AB" w:rsidRPr="008446AB" w:rsidRDefault="008446AB" w:rsidP="00AE5468">
      <w:pPr>
        <w:pStyle w:val="Title"/>
        <w:rPr>
          <w:rFonts w:eastAsia="Times New Roman"/>
        </w:rPr>
      </w:pPr>
      <w:r w:rsidRPr="008446AB">
        <w:rPr>
          <w:rFonts w:eastAsia="Times New Roman"/>
        </w:rPr>
        <w:t>Pharmacy-Caremark Aetna Integration - Integration Framework</w:t>
      </w:r>
    </w:p>
    <w:tbl>
      <w:tblPr>
        <w:tblStyle w:val="TableGrid"/>
        <w:tblW w:w="0" w:type="auto"/>
        <w:tblLook w:val="04A0" w:firstRow="1" w:lastRow="0" w:firstColumn="1" w:lastColumn="0" w:noHBand="0" w:noVBand="1"/>
      </w:tblPr>
      <w:tblGrid>
        <w:gridCol w:w="2210"/>
        <w:gridCol w:w="1690"/>
        <w:gridCol w:w="3565"/>
      </w:tblGrid>
      <w:tr w:rsidR="00AE5468" w:rsidRPr="00AE5468" w14:paraId="228F2AC2" w14:textId="77777777" w:rsidTr="00AE5468">
        <w:trPr>
          <w:gridAfter w:val="1"/>
          <w:wAfter w:w="3565" w:type="dxa"/>
        </w:trPr>
        <w:tc>
          <w:tcPr>
            <w:tcW w:w="0" w:type="auto"/>
          </w:tcPr>
          <w:p w14:paraId="36267D8A" w14:textId="77777777" w:rsidR="00AE5468" w:rsidRPr="00AE5468" w:rsidRDefault="00AE5468" w:rsidP="004B485F">
            <w:pPr>
              <w:spacing w:before="100" w:beforeAutospacing="1" w:after="100" w:afterAutospacing="1"/>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Document Version:</w:t>
            </w:r>
          </w:p>
        </w:tc>
        <w:tc>
          <w:tcPr>
            <w:tcW w:w="0" w:type="auto"/>
          </w:tcPr>
          <w:p w14:paraId="7DAAF53D" w14:textId="77777777" w:rsidR="00AE5468" w:rsidRPr="00AE5468" w:rsidRDefault="00AE5468" w:rsidP="004B485F">
            <w:pPr>
              <w:spacing w:before="100" w:beforeAutospacing="1" w:after="100" w:afterAutospacing="1"/>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 xml:space="preserve">8.0 (Draft) </w:t>
            </w:r>
          </w:p>
        </w:tc>
      </w:tr>
      <w:tr w:rsidR="00AE5468" w:rsidRPr="008446AB" w14:paraId="5B8D96E8" w14:textId="77777777" w:rsidTr="00AE5468">
        <w:trPr>
          <w:gridAfter w:val="1"/>
          <w:wAfter w:w="3565" w:type="dxa"/>
        </w:trPr>
        <w:tc>
          <w:tcPr>
            <w:tcW w:w="0" w:type="auto"/>
          </w:tcPr>
          <w:p w14:paraId="69682938" w14:textId="77777777" w:rsidR="00AE5468" w:rsidRPr="00AE5468" w:rsidRDefault="00AE5468" w:rsidP="004B485F">
            <w:pPr>
              <w:spacing w:before="100" w:beforeAutospacing="1" w:after="100" w:afterAutospacing="1"/>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Effective Date:</w:t>
            </w:r>
          </w:p>
        </w:tc>
        <w:tc>
          <w:tcPr>
            <w:tcW w:w="0" w:type="auto"/>
          </w:tcPr>
          <w:p w14:paraId="5C0233E4" w14:textId="77777777" w:rsidR="00AE5468" w:rsidRPr="008446AB" w:rsidRDefault="00AE5468" w:rsidP="004B485F">
            <w:pPr>
              <w:spacing w:before="100" w:beforeAutospacing="1" w:after="100" w:afterAutospacing="1"/>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August 7, 2025</w:t>
            </w:r>
          </w:p>
        </w:tc>
      </w:tr>
      <w:tr w:rsidR="007A73DC" w14:paraId="17CAB3B2" w14:textId="77777777" w:rsidTr="007A73DC">
        <w:tc>
          <w:tcPr>
            <w:tcW w:w="7465" w:type="dxa"/>
            <w:gridSpan w:val="3"/>
          </w:tcPr>
          <w:p w14:paraId="494624E5" w14:textId="77777777" w:rsidR="007A73DC" w:rsidRDefault="007A73DC" w:rsidP="007A73DC">
            <w:pPr>
              <w:pStyle w:val="TOC1"/>
              <w:rPr>
                <w:rFonts w:eastAsiaTheme="minorEastAsia"/>
                <w:noProof/>
              </w:rPr>
            </w:pPr>
            <w:hyperlink w:anchor="_Toc205425094" w:history="1">
              <w:r w:rsidRPr="0048659A">
                <w:rPr>
                  <w:rStyle w:val="Hyperlink"/>
                  <w:rFonts w:eastAsia="Times New Roman"/>
                  <w:noProof/>
                </w:rPr>
                <w:t>Section 1: Introduction &amp; Core Concepts</w:t>
              </w:r>
            </w:hyperlink>
          </w:p>
          <w:p w14:paraId="23024DB8" w14:textId="77777777" w:rsidR="007A73DC" w:rsidRDefault="007A73DC" w:rsidP="007A73DC">
            <w:pPr>
              <w:pStyle w:val="TOC1"/>
              <w:rPr>
                <w:rFonts w:eastAsiaTheme="minorEastAsia"/>
                <w:noProof/>
              </w:rPr>
            </w:pPr>
            <w:hyperlink w:anchor="_Toc205425095" w:history="1">
              <w:r w:rsidRPr="0048659A">
                <w:rPr>
                  <w:rStyle w:val="Hyperlink"/>
                  <w:noProof/>
                </w:rPr>
                <w:t>Section</w:t>
              </w:r>
              <w:r w:rsidRPr="0048659A">
                <w:rPr>
                  <w:rStyle w:val="Hyperlink"/>
                  <w:rFonts w:eastAsia="Times New Roman"/>
                  <w:noProof/>
                </w:rPr>
                <w:t xml:space="preserve"> 2: Governance, Personnel, &amp; Service Level Commitments</w:t>
              </w:r>
            </w:hyperlink>
          </w:p>
          <w:p w14:paraId="2A6C4E3B" w14:textId="77777777" w:rsidR="007A73DC" w:rsidRDefault="007A73DC" w:rsidP="007A73DC">
            <w:pPr>
              <w:pStyle w:val="TOC1"/>
              <w:rPr>
                <w:rFonts w:eastAsiaTheme="minorEastAsia"/>
                <w:noProof/>
              </w:rPr>
            </w:pPr>
            <w:hyperlink w:anchor="_Toc205425096" w:history="1">
              <w:r w:rsidRPr="0048659A">
                <w:rPr>
                  <w:rStyle w:val="Hyperlink"/>
                  <w:rFonts w:eastAsia="Times New Roman"/>
                  <w:noProof/>
                </w:rPr>
                <w:t>Section 3: Feature Integration Lifecycle Framework</w:t>
              </w:r>
            </w:hyperlink>
          </w:p>
          <w:p w14:paraId="180204BA" w14:textId="77777777" w:rsidR="007A73DC" w:rsidRDefault="007A73DC" w:rsidP="007A73DC">
            <w:pPr>
              <w:pStyle w:val="TOC1"/>
              <w:rPr>
                <w:rFonts w:eastAsiaTheme="minorEastAsia"/>
                <w:noProof/>
              </w:rPr>
            </w:pPr>
            <w:hyperlink w:anchor="_Toc205425097" w:history="1">
              <w:r w:rsidRPr="0048659A">
                <w:rPr>
                  <w:rStyle w:val="Hyperlink"/>
                  <w:rFonts w:eastAsia="Times New Roman"/>
                  <w:noProof/>
                </w:rPr>
                <w:t>Section 4: Runtime Technical Protocol</w:t>
              </w:r>
            </w:hyperlink>
          </w:p>
          <w:p w14:paraId="207C1E80" w14:textId="77777777" w:rsidR="007A73DC" w:rsidRDefault="007A73DC" w:rsidP="007A73DC">
            <w:pPr>
              <w:pStyle w:val="TOC1"/>
              <w:rPr>
                <w:rFonts w:eastAsiaTheme="minorEastAsia"/>
                <w:noProof/>
              </w:rPr>
            </w:pPr>
            <w:hyperlink w:anchor="_Toc205425098" w:history="1">
              <w:r w:rsidRPr="0048659A">
                <w:rPr>
                  <w:rStyle w:val="Hyperlink"/>
                  <w:noProof/>
                </w:rPr>
                <w:t>Section 5: Service Evolution &amp; Versioning</w:t>
              </w:r>
            </w:hyperlink>
          </w:p>
          <w:p w14:paraId="54AAE08D" w14:textId="77777777" w:rsidR="007A73DC" w:rsidRDefault="007A73DC" w:rsidP="007A73DC">
            <w:pPr>
              <w:pStyle w:val="TOC1"/>
              <w:rPr>
                <w:rFonts w:eastAsiaTheme="minorEastAsia"/>
                <w:noProof/>
              </w:rPr>
            </w:pPr>
            <w:hyperlink w:anchor="_Toc205425099" w:history="1">
              <w:r w:rsidRPr="0048659A">
                <w:rPr>
                  <w:rStyle w:val="Hyperlink"/>
                  <w:rFonts w:eastAsia="Times New Roman"/>
                  <w:noProof/>
                </w:rPr>
                <w:t>Section 6: Service Retirement &amp; Sunsetting</w:t>
              </w:r>
            </w:hyperlink>
          </w:p>
          <w:p w14:paraId="3A756913" w14:textId="77777777" w:rsidR="007A73DC" w:rsidRDefault="007A73DC" w:rsidP="007A73DC">
            <w:pPr>
              <w:pStyle w:val="TOC1"/>
              <w:rPr>
                <w:rFonts w:eastAsiaTheme="minorEastAsia"/>
                <w:noProof/>
              </w:rPr>
            </w:pPr>
            <w:hyperlink w:anchor="_Toc205425100" w:history="1">
              <w:r w:rsidRPr="0048659A">
                <w:rPr>
                  <w:rStyle w:val="Hyperlink"/>
                  <w:noProof/>
                </w:rPr>
                <w:t>Section 7: Agreement and Execution</w:t>
              </w:r>
            </w:hyperlink>
          </w:p>
          <w:p w14:paraId="26AB6191" w14:textId="2E9335FE" w:rsidR="007A73DC" w:rsidRPr="007A73DC" w:rsidRDefault="007A73DC" w:rsidP="007A73DC">
            <w:pPr>
              <w:pStyle w:val="TOC1"/>
              <w:rPr>
                <w:rFonts w:eastAsiaTheme="minorEastAsia"/>
                <w:noProof/>
              </w:rPr>
            </w:pPr>
            <w:hyperlink w:anchor="_Toc205425101" w:history="1">
              <w:r w:rsidRPr="0048659A">
                <w:rPr>
                  <w:rStyle w:val="Hyperlink"/>
                  <w:rFonts w:eastAsia="Times New Roman"/>
                  <w:noProof/>
                </w:rPr>
                <w:t>Appendix: Analysis of Process Gap Solutions</w:t>
              </w:r>
            </w:hyperlink>
          </w:p>
        </w:tc>
      </w:tr>
    </w:tbl>
    <w:p w14:paraId="2D70F5DB" w14:textId="22632B9B" w:rsidR="008446AB" w:rsidRPr="008446AB" w:rsidRDefault="008446AB" w:rsidP="00AE5468">
      <w:pPr>
        <w:pStyle w:val="Heading1"/>
        <w:rPr>
          <w:rFonts w:eastAsia="Times New Roman"/>
        </w:rPr>
      </w:pPr>
      <w:bookmarkStart w:id="0" w:name="_Toc205425094"/>
      <w:r w:rsidRPr="008446AB">
        <w:rPr>
          <w:rFonts w:eastAsia="Times New Roman"/>
        </w:rPr>
        <w:t>Section 1: Introduction &amp; Core Concepts</w:t>
      </w:r>
      <w:bookmarkEnd w:id="0"/>
    </w:p>
    <w:p w14:paraId="61948D4D"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i/>
          <w:iCs/>
          <w:kern w:val="0"/>
          <w14:ligatures w14:val="none"/>
        </w:rPr>
      </w:pPr>
      <w:r w:rsidRPr="008446AB">
        <w:rPr>
          <w:rFonts w:ascii="Times New Roman" w:eastAsia="Times New Roman" w:hAnsi="Times New Roman" w:cs="Times New Roman"/>
          <w:b/>
          <w:bCs/>
          <w:i/>
          <w:iCs/>
          <w:kern w:val="0"/>
          <w14:ligatures w14:val="none"/>
        </w:rPr>
        <w:t>Description:</w:t>
      </w:r>
      <w:r w:rsidRPr="008446AB">
        <w:rPr>
          <w:rFonts w:ascii="Times New Roman" w:eastAsia="Times New Roman" w:hAnsi="Times New Roman" w:cs="Times New Roman"/>
          <w:i/>
          <w:iCs/>
          <w:kern w:val="0"/>
          <w14:ligatures w14:val="none"/>
        </w:rPr>
        <w:t xml:space="preserve"> This initial section serves as the foundation for the entire framework. It defines the key entities, services, and terms that will be used throughout the document.</w:t>
      </w:r>
    </w:p>
    <w:p w14:paraId="1AFDAC66"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establish a common vocabulary and eliminate ambiguity, ensuring both the CVS Caremark provider teams and the Aetna consumer teams understand their roles and the components being discussed in precisely the same way.</w:t>
      </w:r>
    </w:p>
    <w:p w14:paraId="10CB8E56" w14:textId="77777777" w:rsidR="008446AB" w:rsidRPr="008446AB" w:rsidRDefault="008446AB" w:rsidP="00AE5468">
      <w:pPr>
        <w:pStyle w:val="Heading2"/>
        <w:rPr>
          <w:rFonts w:eastAsia="Times New Roman"/>
        </w:rPr>
      </w:pPr>
      <w:r w:rsidRPr="008446AB">
        <w:rPr>
          <w:rFonts w:eastAsia="Times New Roman"/>
        </w:rPr>
        <w:t>1.1. Preamble</w:t>
      </w:r>
    </w:p>
    <w:p w14:paraId="6C204571"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This document constitutes a framework agreement between the CVS Caremark service provider organization and the Aetna service consumer organization. It governs the technical integration, operational support, and lifecycle management of the pharmacy services provided herein. As both organizations are part of the larger CVS Health enterprise, adherence to this protocol is a shared commitment required for maintaining a healthy, predictable, and reliable partnership that ultimately serves our members.</w:t>
      </w:r>
    </w:p>
    <w:p w14:paraId="2D14F5D7" w14:textId="77777777" w:rsidR="008446AB" w:rsidRPr="008446AB" w:rsidRDefault="008446AB" w:rsidP="00AE5468">
      <w:pPr>
        <w:pStyle w:val="Heading2"/>
        <w:rPr>
          <w:rFonts w:eastAsia="Times New Roman"/>
        </w:rPr>
      </w:pPr>
      <w:r w:rsidRPr="008446AB">
        <w:rPr>
          <w:rFonts w:eastAsia="Times New Roman"/>
        </w:rPr>
        <w:t>1.2. Core Definitions</w:t>
      </w:r>
    </w:p>
    <w:p w14:paraId="18280144" w14:textId="77777777" w:rsidR="008446AB" w:rsidRPr="008446AB" w:rsidRDefault="008446AB" w:rsidP="008446A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Service Provider:</w:t>
      </w:r>
      <w:r w:rsidRPr="008446AB">
        <w:rPr>
          <w:rFonts w:ascii="Times New Roman" w:eastAsia="Times New Roman" w:hAnsi="Times New Roman" w:cs="Times New Roman"/>
          <w:kern w:val="0"/>
          <w14:ligatures w14:val="none"/>
        </w:rPr>
        <w:t xml:space="preserve"> The CVS Caremark </w:t>
      </w:r>
      <w:proofErr w:type="gramStart"/>
      <w:r w:rsidRPr="008446AB">
        <w:rPr>
          <w:rFonts w:ascii="Times New Roman" w:eastAsia="Times New Roman" w:hAnsi="Times New Roman" w:cs="Times New Roman"/>
          <w:kern w:val="0"/>
          <w14:ligatures w14:val="none"/>
        </w:rPr>
        <w:t>entity that</w:t>
      </w:r>
      <w:proofErr w:type="gramEnd"/>
      <w:r w:rsidRPr="008446AB">
        <w:rPr>
          <w:rFonts w:ascii="Times New Roman" w:eastAsia="Times New Roman" w:hAnsi="Times New Roman" w:cs="Times New Roman"/>
          <w:kern w:val="0"/>
          <w14:ligatures w14:val="none"/>
        </w:rPr>
        <w:t xml:space="preserve"> owns, develops, and maintains the pharmacy services.</w:t>
      </w:r>
    </w:p>
    <w:p w14:paraId="51C53E1B" w14:textId="77777777" w:rsidR="008446AB" w:rsidRPr="008446AB" w:rsidRDefault="008446AB" w:rsidP="007A73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Service Consumer:</w:t>
      </w:r>
      <w:r w:rsidRPr="008446AB">
        <w:rPr>
          <w:rFonts w:ascii="Times New Roman" w:eastAsia="Times New Roman" w:hAnsi="Times New Roman" w:cs="Times New Roman"/>
          <w:kern w:val="0"/>
          <w14:ligatures w14:val="none"/>
        </w:rPr>
        <w:t xml:space="preserve"> The Aetna application or system that integrates with and utilizes the pharmacy services.</w:t>
      </w:r>
    </w:p>
    <w:p w14:paraId="16EC78B0" w14:textId="77777777" w:rsidR="008446AB" w:rsidRPr="008446AB" w:rsidRDefault="008446AB" w:rsidP="008446A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Service Contract:</w:t>
      </w:r>
      <w:r w:rsidRPr="008446AB">
        <w:rPr>
          <w:rFonts w:ascii="Times New Roman" w:eastAsia="Times New Roman" w:hAnsi="Times New Roman" w:cs="Times New Roman"/>
          <w:kern w:val="0"/>
          <w14:ligatures w14:val="none"/>
        </w:rPr>
        <w:t xml:space="preserve"> The complete set of agreements between the parties, including this document and any related charters.</w:t>
      </w:r>
    </w:p>
    <w:p w14:paraId="08DEBA7A" w14:textId="77777777" w:rsidR="008446AB" w:rsidRPr="008446AB" w:rsidRDefault="008446AB" w:rsidP="008446A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REST API Service:</w:t>
      </w:r>
      <w:r w:rsidRPr="008446AB">
        <w:rPr>
          <w:rFonts w:ascii="Times New Roman" w:eastAsia="Times New Roman" w:hAnsi="Times New Roman" w:cs="Times New Roman"/>
          <w:kern w:val="0"/>
          <w14:ligatures w14:val="none"/>
        </w:rPr>
        <w:t xml:space="preserve"> A data-centric service providing access to core pharmacy business entities and operations via standard HTTP methods. For example, an API for fetching a member's prescription history or locating in-network pharmacies.</w:t>
      </w:r>
    </w:p>
    <w:p w14:paraId="63A4992F" w14:textId="77777777" w:rsidR="008446AB" w:rsidRPr="008446AB" w:rsidRDefault="008446AB" w:rsidP="008446A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UX/Data Block Service:</w:t>
      </w:r>
      <w:r w:rsidRPr="008446AB">
        <w:rPr>
          <w:rFonts w:ascii="Times New Roman" w:eastAsia="Times New Roman" w:hAnsi="Times New Roman" w:cs="Times New Roman"/>
          <w:kern w:val="0"/>
          <w14:ligatures w14:val="none"/>
        </w:rPr>
        <w:t xml:space="preserve"> A specialized service that provides a structured, pre-configured block of data intended for direct rendering within an Aetna member's user experience. For example, a data block containing all necessary information to display a member's current mail-order prescriptions and their refill status.</w:t>
      </w:r>
    </w:p>
    <w:p w14:paraId="3C958920" w14:textId="77777777" w:rsidR="008446AB" w:rsidRPr="008446AB" w:rsidRDefault="008446AB" w:rsidP="00AE5468">
      <w:pPr>
        <w:pStyle w:val="Heading1"/>
        <w:rPr>
          <w:rFonts w:eastAsia="Times New Roman"/>
        </w:rPr>
      </w:pPr>
      <w:bookmarkStart w:id="1" w:name="_Toc205425095"/>
      <w:r w:rsidRPr="008446AB">
        <w:rPr>
          <w:rStyle w:val="Heading1Char"/>
        </w:rPr>
        <w:t>Section</w:t>
      </w:r>
      <w:r w:rsidRPr="008446AB">
        <w:rPr>
          <w:rFonts w:eastAsia="Times New Roman"/>
        </w:rPr>
        <w:t xml:space="preserve"> 2: Governance, Personnel, &amp; Service Level Commitments</w:t>
      </w:r>
      <w:bookmarkEnd w:id="1"/>
    </w:p>
    <w:p w14:paraId="4FBA5D6D"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i/>
          <w:iCs/>
          <w:kern w:val="0"/>
          <w14:ligatures w14:val="none"/>
        </w:rPr>
      </w:pPr>
      <w:r w:rsidRPr="008446AB">
        <w:rPr>
          <w:rFonts w:ascii="Times New Roman" w:eastAsia="Times New Roman" w:hAnsi="Times New Roman" w:cs="Times New Roman"/>
          <w:b/>
          <w:bCs/>
          <w:i/>
          <w:iCs/>
          <w:kern w:val="0"/>
          <w14:ligatures w14:val="none"/>
        </w:rPr>
        <w:t>Description:</w:t>
      </w:r>
      <w:r w:rsidRPr="008446AB">
        <w:rPr>
          <w:rFonts w:ascii="Times New Roman" w:eastAsia="Times New Roman" w:hAnsi="Times New Roman" w:cs="Times New Roman"/>
          <w:i/>
          <w:iCs/>
          <w:kern w:val="0"/>
          <w14:ligatures w14:val="none"/>
        </w:rPr>
        <w:t xml:space="preserve"> This section defines the human layer of the partnership and the quality commitments for the service. It outlines key personnel roles, their responsibilities, the measurable standards for service availability and performance, and the specific communication protocols for different functional teams.</w:t>
      </w:r>
    </w:p>
    <w:p w14:paraId="3B9EFF68"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create clear lines of responsibility, establish predictable communication pathways, provide the Aetna team with a formal commitment to service quality and support, and ensure that the right people are collaborating in the right way at the right time.</w:t>
      </w:r>
    </w:p>
    <w:p w14:paraId="0937AC2A" w14:textId="795678B0" w:rsidR="00E05E28" w:rsidRDefault="008446AB" w:rsidP="008446AB">
      <w:pPr>
        <w:spacing w:before="100" w:beforeAutospacing="1" w:after="100" w:afterAutospacing="1" w:line="240" w:lineRule="auto"/>
        <w:rPr>
          <w:rFonts w:ascii="Times New Roman" w:eastAsia="Times New Roman" w:hAnsi="Times New Roman" w:cs="Times New Roman"/>
          <w:kern w:val="0"/>
          <w14:ligatures w14:val="none"/>
        </w:rPr>
        <w:sectPr w:rsidR="00E05E28">
          <w:pgSz w:w="12240" w:h="15840"/>
          <w:pgMar w:top="1440" w:right="1440" w:bottom="1440" w:left="1440" w:header="720" w:footer="720" w:gutter="0"/>
          <w:cols w:space="720"/>
          <w:docGrid w:linePitch="360"/>
        </w:sectPr>
      </w:pPr>
      <w:r w:rsidRPr="008446AB">
        <w:rPr>
          <w:rFonts w:ascii="Times New Roman" w:eastAsia="Times New Roman" w:hAnsi="Times New Roman" w:cs="Times New Roman"/>
          <w:kern w:val="0"/>
          <w14:ligatures w14:val="none"/>
        </w:rPr>
        <w:t>.</w:t>
      </w:r>
    </w:p>
    <w:p w14:paraId="518DCA56" w14:textId="5FFE69E2" w:rsidR="00E05E28" w:rsidRPr="008446AB" w:rsidRDefault="00E05E28" w:rsidP="00E05E28">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2.1. </w:t>
      </w:r>
      <w:r w:rsidRPr="008446AB">
        <w:rPr>
          <w:rFonts w:ascii="Times New Roman" w:eastAsia="Times New Roman" w:hAnsi="Times New Roman" w:cs="Times New Roman"/>
          <w:b/>
          <w:bCs/>
          <w:kern w:val="0"/>
          <w14:ligatures w14:val="none"/>
        </w:rPr>
        <w:t>Stakeholder Responsibility &amp; Communication Matrix (RACI)</w:t>
      </w:r>
    </w:p>
    <w:p w14:paraId="4E7DF787" w14:textId="47982C58" w:rsidR="00E05E28" w:rsidRPr="00E05E28" w:rsidRDefault="00E05E28" w:rsidP="00E05E28">
      <w:pPr>
        <w:spacing w:before="100" w:beforeAutospacing="1" w:after="100" w:afterAutospacing="1" w:line="240" w:lineRule="auto"/>
        <w:ind w:left="360"/>
        <w:rPr>
          <w:rFonts w:ascii="Times New Roman" w:eastAsia="Times New Roman" w:hAnsi="Times New Roman" w:cs="Times New Roman"/>
          <w:i/>
          <w:iCs/>
          <w:kern w:val="0"/>
          <w14:ligatures w14:val="none"/>
        </w:rPr>
      </w:pPr>
      <w:r w:rsidRPr="008446AB">
        <w:rPr>
          <w:rFonts w:ascii="Times New Roman" w:eastAsia="Times New Roman" w:hAnsi="Times New Roman" w:cs="Times New Roman"/>
          <w:i/>
          <w:iCs/>
          <w:kern w:val="0"/>
          <w14:ligatures w14:val="none"/>
        </w:rPr>
        <w:t>This matrix represents Aetna's proposed draft for the joint initiative. It is understood that CVS Caremark is ultimately responsible for assigning roles and responsibilities to its personnel in accordance with its own internal policies and procedures. This draft serves as a starting point for discussion to ensure alignment and clarity</w:t>
      </w:r>
    </w:p>
    <w:p w14:paraId="3959D050" w14:textId="3181838A" w:rsidR="008446AB" w:rsidRPr="008446AB" w:rsidRDefault="00E05E28" w:rsidP="00E05E28">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KEY: </w:t>
      </w:r>
      <w:r w:rsidR="008446AB" w:rsidRPr="008446AB">
        <w:rPr>
          <w:rFonts w:ascii="Times New Roman" w:eastAsia="Times New Roman" w:hAnsi="Times New Roman" w:cs="Times New Roman"/>
          <w:b/>
          <w:bCs/>
          <w:kern w:val="0"/>
          <w14:ligatures w14:val="none"/>
        </w:rPr>
        <w:t>R</w:t>
      </w:r>
      <w:r w:rsidR="008446AB" w:rsidRPr="008446AB">
        <w:rPr>
          <w:rFonts w:ascii="Times New Roman" w:eastAsia="Times New Roman" w:hAnsi="Times New Roman" w:cs="Times New Roman"/>
          <w:kern w:val="0"/>
          <w14:ligatures w14:val="none"/>
        </w:rPr>
        <w:t xml:space="preserve"> = Responsible</w:t>
      </w:r>
      <w:r w:rsidRPr="00E05E28">
        <w:rPr>
          <w:rFonts w:ascii="Times New Roman" w:eastAsia="Times New Roman" w:hAnsi="Times New Roman" w:cs="Times New Roman"/>
          <w:kern w:val="0"/>
          <w14:ligatures w14:val="none"/>
        </w:rPr>
        <w:t xml:space="preserve">, </w:t>
      </w:r>
      <w:r w:rsidR="008446AB" w:rsidRPr="008446AB">
        <w:rPr>
          <w:rFonts w:ascii="Times New Roman" w:eastAsia="Times New Roman" w:hAnsi="Times New Roman" w:cs="Times New Roman"/>
          <w:b/>
          <w:bCs/>
          <w:kern w:val="0"/>
          <w14:ligatures w14:val="none"/>
        </w:rPr>
        <w:t>A</w:t>
      </w:r>
      <w:r w:rsidR="008446AB" w:rsidRPr="008446AB">
        <w:rPr>
          <w:rFonts w:ascii="Times New Roman" w:eastAsia="Times New Roman" w:hAnsi="Times New Roman" w:cs="Times New Roman"/>
          <w:kern w:val="0"/>
          <w14:ligatures w14:val="none"/>
        </w:rPr>
        <w:t xml:space="preserve"> = Accountable</w:t>
      </w:r>
      <w:r w:rsidRPr="00E05E28">
        <w:rPr>
          <w:rFonts w:ascii="Times New Roman" w:eastAsia="Times New Roman" w:hAnsi="Times New Roman" w:cs="Times New Roman"/>
          <w:kern w:val="0"/>
          <w14:ligatures w14:val="none"/>
        </w:rPr>
        <w:t xml:space="preserve">, </w:t>
      </w:r>
      <w:r w:rsidR="008446AB" w:rsidRPr="008446AB">
        <w:rPr>
          <w:rFonts w:ascii="Times New Roman" w:eastAsia="Times New Roman" w:hAnsi="Times New Roman" w:cs="Times New Roman"/>
          <w:b/>
          <w:bCs/>
          <w:kern w:val="0"/>
          <w14:ligatures w14:val="none"/>
        </w:rPr>
        <w:t>C</w:t>
      </w:r>
      <w:r w:rsidR="008446AB" w:rsidRPr="008446AB">
        <w:rPr>
          <w:rFonts w:ascii="Times New Roman" w:eastAsia="Times New Roman" w:hAnsi="Times New Roman" w:cs="Times New Roman"/>
          <w:kern w:val="0"/>
          <w14:ligatures w14:val="none"/>
        </w:rPr>
        <w:t xml:space="preserve"> = Consulted</w:t>
      </w:r>
      <w:r w:rsidRPr="00E05E28">
        <w:rPr>
          <w:rFonts w:ascii="Times New Roman" w:eastAsia="Times New Roman" w:hAnsi="Times New Roman" w:cs="Times New Roman"/>
          <w:kern w:val="0"/>
          <w14:ligatures w14:val="none"/>
        </w:rPr>
        <w:t xml:space="preserve">, </w:t>
      </w:r>
      <w:r w:rsidR="008446AB" w:rsidRPr="008446AB">
        <w:rPr>
          <w:rFonts w:ascii="Times New Roman" w:eastAsia="Times New Roman" w:hAnsi="Times New Roman" w:cs="Times New Roman"/>
          <w:b/>
          <w:bCs/>
          <w:kern w:val="0"/>
          <w14:ligatures w14:val="none"/>
        </w:rPr>
        <w:t>I</w:t>
      </w:r>
      <w:r w:rsidR="008446AB" w:rsidRPr="008446AB">
        <w:rPr>
          <w:rFonts w:ascii="Times New Roman" w:eastAsia="Times New Roman" w:hAnsi="Times New Roman" w:cs="Times New Roman"/>
          <w:kern w:val="0"/>
          <w14:ligatures w14:val="none"/>
        </w:rPr>
        <w:t xml:space="preserve"> = Informed</w:t>
      </w:r>
      <w:r w:rsidRPr="00E05E28">
        <w:rPr>
          <w:rFonts w:ascii="Times New Roman" w:eastAsia="Times New Roman" w:hAnsi="Times New Roman" w:cs="Times New Roman"/>
          <w:kern w:val="0"/>
          <w14:ligatures w14:val="none"/>
        </w:rPr>
        <w:t xml:space="preserve">, </w:t>
      </w:r>
      <w:r w:rsidRPr="00E05E28">
        <w:rPr>
          <w:rFonts w:ascii="Times New Roman" w:eastAsia="Times New Roman" w:hAnsi="Times New Roman" w:cs="Times New Roman"/>
          <w:b/>
          <w:bCs/>
          <w:kern w:val="0"/>
          <w14:ligatures w14:val="none"/>
        </w:rPr>
        <w:t>x</w:t>
      </w:r>
      <w:r w:rsidR="008446AB" w:rsidRPr="008446AB">
        <w:rPr>
          <w:rFonts w:ascii="Times New Roman" w:eastAsia="Times New Roman" w:hAnsi="Times New Roman" w:cs="Times New Roman"/>
          <w:kern w:val="0"/>
          <w14:ligatures w14:val="none"/>
        </w:rPr>
        <w:t xml:space="preserve"> = Out of Scope</w:t>
      </w:r>
    </w:p>
    <w:tbl>
      <w:tblPr>
        <w:tblW w:w="5000" w:type="pct"/>
        <w:tblLook w:val="04A0" w:firstRow="1" w:lastRow="0" w:firstColumn="1" w:lastColumn="0" w:noHBand="0" w:noVBand="1"/>
      </w:tblPr>
      <w:tblGrid>
        <w:gridCol w:w="2877"/>
        <w:gridCol w:w="2086"/>
        <w:gridCol w:w="2081"/>
        <w:gridCol w:w="1874"/>
        <w:gridCol w:w="1783"/>
        <w:gridCol w:w="2239"/>
      </w:tblGrid>
      <w:tr w:rsidR="00E05E28" w14:paraId="1D498EF7" w14:textId="77777777" w:rsidTr="00E05E28">
        <w:trPr>
          <w:trHeight w:val="915"/>
        </w:trPr>
        <w:tc>
          <w:tcPr>
            <w:tcW w:w="1112" w:type="pct"/>
            <w:vMerge w:val="restart"/>
            <w:tcBorders>
              <w:top w:val="single" w:sz="8" w:space="0" w:color="auto"/>
              <w:left w:val="single" w:sz="8" w:space="0" w:color="auto"/>
              <w:bottom w:val="single" w:sz="4" w:space="0" w:color="auto"/>
              <w:right w:val="double" w:sz="6" w:space="0" w:color="auto"/>
            </w:tcBorders>
            <w:shd w:val="clear" w:color="000000" w:fill="000000"/>
            <w:vAlign w:val="center"/>
            <w:hideMark/>
          </w:tcPr>
          <w:p w14:paraId="67548502" w14:textId="77777777" w:rsidR="00E05E28" w:rsidRDefault="00E05E28">
            <w:pPr>
              <w:rPr>
                <w:b/>
                <w:bCs/>
                <w:color w:val="FFFFFF"/>
              </w:rPr>
            </w:pPr>
            <w:r>
              <w:rPr>
                <w:b/>
                <w:bCs/>
                <w:color w:val="FFFFFF"/>
              </w:rPr>
              <w:t>Role/Stakeholder</w:t>
            </w:r>
          </w:p>
        </w:tc>
        <w:tc>
          <w:tcPr>
            <w:tcW w:w="1610" w:type="pct"/>
            <w:gridSpan w:val="2"/>
            <w:tcBorders>
              <w:top w:val="single" w:sz="8" w:space="0" w:color="auto"/>
              <w:left w:val="nil"/>
              <w:bottom w:val="double" w:sz="6" w:space="0" w:color="E7E6E6"/>
              <w:right w:val="double" w:sz="6" w:space="0" w:color="E7E6E6"/>
            </w:tcBorders>
            <w:shd w:val="clear" w:color="000000" w:fill="000000"/>
            <w:vAlign w:val="center"/>
            <w:hideMark/>
          </w:tcPr>
          <w:p w14:paraId="307F8B59" w14:textId="77777777" w:rsidR="00E05E28" w:rsidRDefault="00E05E28">
            <w:pPr>
              <w:jc w:val="center"/>
              <w:rPr>
                <w:rFonts w:ascii="Calibri" w:hAnsi="Calibri" w:cs="Calibri"/>
                <w:b/>
                <w:bCs/>
                <w:color w:val="FFFFFF"/>
                <w:sz w:val="22"/>
                <w:szCs w:val="22"/>
              </w:rPr>
            </w:pPr>
            <w:r>
              <w:rPr>
                <w:rFonts w:ascii="Calibri" w:hAnsi="Calibri" w:cs="Calibri"/>
                <w:b/>
                <w:bCs/>
                <w:color w:val="FFFFFF"/>
                <w:sz w:val="22"/>
                <w:szCs w:val="22"/>
              </w:rPr>
              <w:t>Part 1: Joint Discovery &amp; Definition</w:t>
            </w:r>
            <w:r>
              <w:rPr>
                <w:rFonts w:ascii="Calibri" w:hAnsi="Calibri" w:cs="Calibri"/>
                <w:b/>
                <w:bCs/>
                <w:color w:val="FFFFFF"/>
                <w:sz w:val="22"/>
                <w:szCs w:val="22"/>
              </w:rPr>
              <w:br/>
              <w:t>(1-3 Day Working Session)</w:t>
            </w:r>
          </w:p>
        </w:tc>
        <w:tc>
          <w:tcPr>
            <w:tcW w:w="1413" w:type="pct"/>
            <w:gridSpan w:val="2"/>
            <w:tcBorders>
              <w:top w:val="single" w:sz="8" w:space="0" w:color="auto"/>
              <w:left w:val="nil"/>
              <w:bottom w:val="double" w:sz="6" w:space="0" w:color="E7E6E6"/>
              <w:right w:val="double" w:sz="6" w:space="0" w:color="E7E6E6"/>
            </w:tcBorders>
            <w:shd w:val="clear" w:color="000000" w:fill="000000"/>
            <w:vAlign w:val="center"/>
            <w:hideMark/>
          </w:tcPr>
          <w:p w14:paraId="2811A535" w14:textId="77777777" w:rsidR="00E05E28" w:rsidRDefault="00E05E28">
            <w:pPr>
              <w:jc w:val="center"/>
              <w:rPr>
                <w:rFonts w:ascii="Calibri" w:hAnsi="Calibri" w:cs="Calibri"/>
                <w:b/>
                <w:bCs/>
                <w:color w:val="FFFFFF"/>
                <w:sz w:val="22"/>
                <w:szCs w:val="22"/>
              </w:rPr>
            </w:pPr>
            <w:r>
              <w:rPr>
                <w:rFonts w:ascii="Calibri" w:hAnsi="Calibri" w:cs="Calibri"/>
                <w:b/>
                <w:bCs/>
                <w:color w:val="FFFFFF"/>
                <w:sz w:val="22"/>
                <w:szCs w:val="22"/>
              </w:rPr>
              <w:t>Part 2: Internal Assessment &amp; Commitment</w:t>
            </w:r>
            <w:r>
              <w:rPr>
                <w:rFonts w:ascii="Calibri" w:hAnsi="Calibri" w:cs="Calibri"/>
                <w:b/>
                <w:bCs/>
                <w:color w:val="FFFFFF"/>
                <w:sz w:val="22"/>
                <w:szCs w:val="22"/>
              </w:rPr>
              <w:br/>
              <w:t>(Weeks 1-3 Post-Discovery)</w:t>
            </w:r>
          </w:p>
        </w:tc>
        <w:tc>
          <w:tcPr>
            <w:tcW w:w="865" w:type="pct"/>
            <w:tcBorders>
              <w:top w:val="single" w:sz="8" w:space="0" w:color="auto"/>
              <w:left w:val="nil"/>
              <w:bottom w:val="double" w:sz="6" w:space="0" w:color="E7E6E6"/>
              <w:right w:val="single" w:sz="8" w:space="0" w:color="auto"/>
            </w:tcBorders>
            <w:shd w:val="clear" w:color="000000" w:fill="000000"/>
            <w:vAlign w:val="center"/>
            <w:hideMark/>
          </w:tcPr>
          <w:p w14:paraId="47FBADDB" w14:textId="77777777" w:rsidR="00E05E28" w:rsidRDefault="00E05E28">
            <w:pPr>
              <w:jc w:val="center"/>
              <w:rPr>
                <w:rFonts w:ascii="Calibri" w:hAnsi="Calibri" w:cs="Calibri"/>
                <w:b/>
                <w:bCs/>
                <w:color w:val="FFFFFF"/>
                <w:sz w:val="22"/>
                <w:szCs w:val="22"/>
              </w:rPr>
            </w:pPr>
            <w:r>
              <w:rPr>
                <w:rFonts w:ascii="Calibri" w:hAnsi="Calibri" w:cs="Calibri"/>
                <w:b/>
                <w:bCs/>
                <w:color w:val="FFFFFF"/>
                <w:sz w:val="22"/>
                <w:szCs w:val="22"/>
              </w:rPr>
              <w:t>Part 3: Phase N - Planning &amp; Execution</w:t>
            </w:r>
          </w:p>
        </w:tc>
      </w:tr>
      <w:tr w:rsidR="00E05E28" w14:paraId="5175C1EE" w14:textId="77777777" w:rsidTr="00E05E28">
        <w:trPr>
          <w:trHeight w:val="960"/>
        </w:trPr>
        <w:tc>
          <w:tcPr>
            <w:tcW w:w="1112" w:type="pct"/>
            <w:vMerge/>
            <w:tcBorders>
              <w:top w:val="single" w:sz="8" w:space="0" w:color="auto"/>
              <w:left w:val="single" w:sz="8" w:space="0" w:color="auto"/>
              <w:bottom w:val="single" w:sz="4" w:space="0" w:color="auto"/>
              <w:right w:val="double" w:sz="6" w:space="0" w:color="auto"/>
            </w:tcBorders>
            <w:vAlign w:val="center"/>
            <w:hideMark/>
          </w:tcPr>
          <w:p w14:paraId="29FE5C7E" w14:textId="77777777" w:rsidR="00E05E28" w:rsidRDefault="00E05E28">
            <w:pPr>
              <w:rPr>
                <w:b/>
                <w:bCs/>
                <w:color w:val="FFFFFF"/>
              </w:rPr>
            </w:pPr>
          </w:p>
        </w:tc>
        <w:tc>
          <w:tcPr>
            <w:tcW w:w="806" w:type="pct"/>
            <w:tcBorders>
              <w:top w:val="nil"/>
              <w:left w:val="nil"/>
              <w:bottom w:val="single" w:sz="4" w:space="0" w:color="auto"/>
              <w:right w:val="nil"/>
            </w:tcBorders>
            <w:shd w:val="clear" w:color="000000" w:fill="000000"/>
            <w:vAlign w:val="center"/>
            <w:hideMark/>
          </w:tcPr>
          <w:p w14:paraId="1E2F218C" w14:textId="77777777" w:rsidR="00E05E28" w:rsidRDefault="00E05E28">
            <w:pPr>
              <w:jc w:val="center"/>
              <w:rPr>
                <w:rFonts w:ascii="Times New Roman" w:hAnsi="Times New Roman" w:cs="Times New Roman"/>
                <w:b/>
                <w:bCs/>
                <w:color w:val="FFFFFF"/>
              </w:rPr>
            </w:pPr>
            <w:r>
              <w:rPr>
                <w:b/>
                <w:bCs/>
                <w:color w:val="FFFFFF"/>
              </w:rPr>
              <w:t>Phase 1:</w:t>
            </w:r>
            <w:r>
              <w:rPr>
                <w:b/>
                <w:bCs/>
                <w:color w:val="FFFFFF"/>
              </w:rPr>
              <w:br/>
              <w:t>Onboarding</w:t>
            </w:r>
          </w:p>
        </w:tc>
        <w:tc>
          <w:tcPr>
            <w:tcW w:w="804" w:type="pct"/>
            <w:tcBorders>
              <w:top w:val="nil"/>
              <w:left w:val="nil"/>
              <w:bottom w:val="single" w:sz="4" w:space="0" w:color="auto"/>
              <w:right w:val="double" w:sz="6" w:space="0" w:color="E7E6E6"/>
            </w:tcBorders>
            <w:shd w:val="clear" w:color="000000" w:fill="000000"/>
            <w:vAlign w:val="center"/>
            <w:hideMark/>
          </w:tcPr>
          <w:p w14:paraId="1126AE30" w14:textId="77777777" w:rsidR="00E05E28" w:rsidRDefault="00E05E28">
            <w:pPr>
              <w:jc w:val="center"/>
              <w:rPr>
                <w:b/>
                <w:bCs/>
                <w:color w:val="FFFFFF"/>
              </w:rPr>
            </w:pPr>
            <w:r>
              <w:rPr>
                <w:b/>
                <w:bCs/>
                <w:color w:val="FFFFFF"/>
              </w:rPr>
              <w:t>Phase 2:</w:t>
            </w:r>
            <w:r>
              <w:rPr>
                <w:b/>
                <w:bCs/>
                <w:color w:val="FFFFFF"/>
              </w:rPr>
              <w:br/>
              <w:t>External Refinement</w:t>
            </w:r>
          </w:p>
        </w:tc>
        <w:tc>
          <w:tcPr>
            <w:tcW w:w="724" w:type="pct"/>
            <w:tcBorders>
              <w:top w:val="nil"/>
              <w:left w:val="nil"/>
              <w:bottom w:val="single" w:sz="4" w:space="0" w:color="auto"/>
              <w:right w:val="nil"/>
            </w:tcBorders>
            <w:shd w:val="clear" w:color="000000" w:fill="000000"/>
            <w:vAlign w:val="center"/>
            <w:hideMark/>
          </w:tcPr>
          <w:p w14:paraId="13F50F01" w14:textId="77777777" w:rsidR="00E05E28" w:rsidRDefault="00E05E28">
            <w:pPr>
              <w:jc w:val="center"/>
              <w:rPr>
                <w:b/>
                <w:bCs/>
                <w:color w:val="FFFFFF"/>
              </w:rPr>
            </w:pPr>
            <w:r>
              <w:rPr>
                <w:b/>
                <w:bCs/>
                <w:color w:val="FFFFFF"/>
              </w:rPr>
              <w:t>Phase 3:</w:t>
            </w:r>
            <w:r>
              <w:rPr>
                <w:b/>
                <w:bCs/>
                <w:color w:val="FFFFFF"/>
              </w:rPr>
              <w:br/>
              <w:t>Internal Refinement</w:t>
            </w:r>
          </w:p>
        </w:tc>
        <w:tc>
          <w:tcPr>
            <w:tcW w:w="689" w:type="pct"/>
            <w:tcBorders>
              <w:top w:val="nil"/>
              <w:left w:val="nil"/>
              <w:bottom w:val="single" w:sz="4" w:space="0" w:color="auto"/>
              <w:right w:val="double" w:sz="6" w:space="0" w:color="E7E6E6"/>
            </w:tcBorders>
            <w:shd w:val="clear" w:color="000000" w:fill="000000"/>
            <w:vAlign w:val="center"/>
            <w:hideMark/>
          </w:tcPr>
          <w:p w14:paraId="3B4D493E" w14:textId="77777777" w:rsidR="00E05E28" w:rsidRDefault="00E05E28">
            <w:pPr>
              <w:jc w:val="center"/>
              <w:rPr>
                <w:b/>
                <w:bCs/>
                <w:color w:val="FFFFFF"/>
              </w:rPr>
            </w:pPr>
            <w:r>
              <w:rPr>
                <w:b/>
                <w:bCs/>
                <w:color w:val="FFFFFF"/>
              </w:rPr>
              <w:t>Phase 4:</w:t>
            </w:r>
            <w:r>
              <w:rPr>
                <w:b/>
                <w:bCs/>
                <w:color w:val="FFFFFF"/>
              </w:rPr>
              <w:br/>
              <w:t>Sizing &amp; Assignment</w:t>
            </w:r>
          </w:p>
        </w:tc>
        <w:tc>
          <w:tcPr>
            <w:tcW w:w="865" w:type="pct"/>
            <w:tcBorders>
              <w:top w:val="nil"/>
              <w:left w:val="nil"/>
              <w:bottom w:val="single" w:sz="4" w:space="0" w:color="auto"/>
              <w:right w:val="single" w:sz="8" w:space="0" w:color="auto"/>
            </w:tcBorders>
            <w:shd w:val="clear" w:color="000000" w:fill="000000"/>
            <w:vAlign w:val="center"/>
            <w:hideMark/>
          </w:tcPr>
          <w:p w14:paraId="1EFFABFD" w14:textId="77777777" w:rsidR="00E05E28" w:rsidRDefault="00E05E28">
            <w:pPr>
              <w:jc w:val="center"/>
              <w:rPr>
                <w:b/>
                <w:bCs/>
                <w:color w:val="FFFFFF"/>
              </w:rPr>
            </w:pPr>
            <w:r>
              <w:rPr>
                <w:b/>
                <w:bCs/>
                <w:color w:val="FFFFFF"/>
              </w:rPr>
              <w:t>Phase N:</w:t>
            </w:r>
            <w:r>
              <w:rPr>
                <w:b/>
                <w:bCs/>
                <w:color w:val="FFFFFF"/>
              </w:rPr>
              <w:br/>
              <w:t>Execution</w:t>
            </w:r>
          </w:p>
        </w:tc>
      </w:tr>
      <w:tr w:rsidR="00E05E28" w14:paraId="1CC32AD7" w14:textId="77777777" w:rsidTr="00E05E28">
        <w:trPr>
          <w:trHeight w:val="315"/>
        </w:trPr>
        <w:tc>
          <w:tcPr>
            <w:tcW w:w="1112" w:type="pct"/>
            <w:tcBorders>
              <w:top w:val="nil"/>
              <w:left w:val="single" w:sz="8" w:space="0" w:color="auto"/>
              <w:bottom w:val="single" w:sz="4" w:space="0" w:color="auto"/>
              <w:right w:val="double" w:sz="6" w:space="0" w:color="auto"/>
            </w:tcBorders>
            <w:vAlign w:val="center"/>
            <w:hideMark/>
          </w:tcPr>
          <w:p w14:paraId="2D9DAA11" w14:textId="77777777" w:rsidR="00E05E28" w:rsidRDefault="00E05E28">
            <w:pPr>
              <w:rPr>
                <w:b/>
                <w:bCs/>
                <w:color w:val="000000"/>
              </w:rPr>
            </w:pPr>
            <w:r>
              <w:rPr>
                <w:b/>
                <w:bCs/>
                <w:color w:val="000000"/>
              </w:rPr>
              <w:t>Aetna Product &amp; Business</w:t>
            </w:r>
          </w:p>
        </w:tc>
        <w:tc>
          <w:tcPr>
            <w:tcW w:w="806" w:type="pct"/>
            <w:tcBorders>
              <w:top w:val="single" w:sz="4" w:space="0" w:color="auto"/>
              <w:left w:val="nil"/>
              <w:bottom w:val="single" w:sz="4" w:space="0" w:color="auto"/>
              <w:right w:val="single" w:sz="4" w:space="0" w:color="auto"/>
            </w:tcBorders>
            <w:shd w:val="clear" w:color="000000" w:fill="99FF66"/>
            <w:vAlign w:val="center"/>
            <w:hideMark/>
          </w:tcPr>
          <w:p w14:paraId="14922984" w14:textId="77777777" w:rsidR="00E05E28" w:rsidRDefault="00E05E28">
            <w:pPr>
              <w:jc w:val="center"/>
              <w:rPr>
                <w:b/>
                <w:bCs/>
                <w:color w:val="000000"/>
              </w:rPr>
            </w:pPr>
            <w:r>
              <w:rPr>
                <w:b/>
                <w:bCs/>
                <w:color w:val="000000"/>
              </w:rPr>
              <w:t>A/R</w:t>
            </w:r>
          </w:p>
        </w:tc>
        <w:tc>
          <w:tcPr>
            <w:tcW w:w="804" w:type="pct"/>
            <w:tcBorders>
              <w:top w:val="single" w:sz="4" w:space="0" w:color="auto"/>
              <w:left w:val="nil"/>
              <w:bottom w:val="single" w:sz="4" w:space="0" w:color="auto"/>
              <w:right w:val="single" w:sz="12" w:space="0" w:color="auto"/>
            </w:tcBorders>
            <w:vAlign w:val="center"/>
            <w:hideMark/>
          </w:tcPr>
          <w:p w14:paraId="464F708A" w14:textId="77777777" w:rsidR="00E05E28" w:rsidRDefault="00E05E28">
            <w:pPr>
              <w:jc w:val="center"/>
              <w:rPr>
                <w:b/>
                <w:bCs/>
                <w:color w:val="000000"/>
              </w:rPr>
            </w:pPr>
            <w:r>
              <w:rPr>
                <w:b/>
                <w:bCs/>
                <w:color w:val="000000"/>
              </w:rPr>
              <w:t>A</w:t>
            </w:r>
          </w:p>
        </w:tc>
        <w:tc>
          <w:tcPr>
            <w:tcW w:w="724" w:type="pct"/>
            <w:tcBorders>
              <w:top w:val="nil"/>
              <w:left w:val="single" w:sz="12" w:space="0" w:color="auto"/>
              <w:bottom w:val="single" w:sz="4" w:space="0" w:color="auto"/>
              <w:right w:val="single" w:sz="4" w:space="0" w:color="auto"/>
            </w:tcBorders>
            <w:vAlign w:val="center"/>
            <w:hideMark/>
          </w:tcPr>
          <w:p w14:paraId="709D31D3" w14:textId="77777777" w:rsidR="00E05E28" w:rsidRDefault="00E05E28">
            <w:pPr>
              <w:jc w:val="center"/>
              <w:rPr>
                <w:b/>
                <w:bCs/>
                <w:color w:val="000000"/>
              </w:rPr>
            </w:pPr>
            <w:r>
              <w:rPr>
                <w:b/>
                <w:bCs/>
                <w:color w:val="000000"/>
              </w:rPr>
              <w:t>C</w:t>
            </w:r>
          </w:p>
        </w:tc>
        <w:tc>
          <w:tcPr>
            <w:tcW w:w="689" w:type="pct"/>
            <w:tcBorders>
              <w:top w:val="single" w:sz="4" w:space="0" w:color="auto"/>
              <w:left w:val="single" w:sz="4" w:space="0" w:color="auto"/>
              <w:bottom w:val="single" w:sz="4" w:space="0" w:color="auto"/>
              <w:right w:val="single" w:sz="12" w:space="0" w:color="auto"/>
            </w:tcBorders>
            <w:shd w:val="clear" w:color="000000" w:fill="99FF66"/>
            <w:vAlign w:val="center"/>
            <w:hideMark/>
          </w:tcPr>
          <w:p w14:paraId="598D67BB" w14:textId="77777777" w:rsidR="00E05E28" w:rsidRDefault="00E05E28">
            <w:pPr>
              <w:jc w:val="center"/>
              <w:rPr>
                <w:b/>
                <w:bCs/>
                <w:color w:val="000000"/>
              </w:rPr>
            </w:pPr>
            <w:r>
              <w:rPr>
                <w:b/>
                <w:bCs/>
                <w:color w:val="000000"/>
              </w:rPr>
              <w:t>A/R</w:t>
            </w:r>
          </w:p>
        </w:tc>
        <w:tc>
          <w:tcPr>
            <w:tcW w:w="865" w:type="pct"/>
            <w:tcBorders>
              <w:top w:val="nil"/>
              <w:left w:val="single" w:sz="12" w:space="0" w:color="auto"/>
              <w:bottom w:val="single" w:sz="4" w:space="0" w:color="auto"/>
              <w:right w:val="single" w:sz="8" w:space="0" w:color="auto"/>
            </w:tcBorders>
            <w:vAlign w:val="center"/>
            <w:hideMark/>
          </w:tcPr>
          <w:p w14:paraId="20D16958" w14:textId="77777777" w:rsidR="00E05E28" w:rsidRDefault="00E05E28">
            <w:pPr>
              <w:jc w:val="center"/>
              <w:rPr>
                <w:b/>
                <w:bCs/>
                <w:color w:val="000000"/>
              </w:rPr>
            </w:pPr>
            <w:r>
              <w:rPr>
                <w:b/>
                <w:bCs/>
                <w:color w:val="000000"/>
              </w:rPr>
              <w:t>C</w:t>
            </w:r>
          </w:p>
        </w:tc>
      </w:tr>
      <w:tr w:rsidR="00E05E28" w14:paraId="5235CC1D" w14:textId="77777777" w:rsidTr="00E05E28">
        <w:trPr>
          <w:trHeight w:val="315"/>
        </w:trPr>
        <w:tc>
          <w:tcPr>
            <w:tcW w:w="1112" w:type="pct"/>
            <w:tcBorders>
              <w:top w:val="nil"/>
              <w:left w:val="single" w:sz="8" w:space="0" w:color="auto"/>
              <w:bottom w:val="single" w:sz="4" w:space="0" w:color="auto"/>
              <w:right w:val="double" w:sz="6" w:space="0" w:color="auto"/>
            </w:tcBorders>
            <w:vAlign w:val="center"/>
            <w:hideMark/>
          </w:tcPr>
          <w:p w14:paraId="064F33BB" w14:textId="77777777" w:rsidR="00E05E28" w:rsidRDefault="00E05E28">
            <w:pPr>
              <w:rPr>
                <w:b/>
                <w:bCs/>
                <w:color w:val="000000"/>
              </w:rPr>
            </w:pPr>
            <w:r>
              <w:rPr>
                <w:b/>
                <w:bCs/>
                <w:color w:val="000000"/>
              </w:rPr>
              <w:t>CVS Product &amp; Business</w:t>
            </w:r>
          </w:p>
        </w:tc>
        <w:tc>
          <w:tcPr>
            <w:tcW w:w="806" w:type="pct"/>
            <w:tcBorders>
              <w:top w:val="single" w:sz="4" w:space="0" w:color="auto"/>
              <w:left w:val="nil"/>
              <w:bottom w:val="single" w:sz="4" w:space="0" w:color="auto"/>
              <w:right w:val="single" w:sz="4" w:space="0" w:color="auto"/>
            </w:tcBorders>
            <w:shd w:val="clear" w:color="000000" w:fill="99FF66"/>
            <w:vAlign w:val="center"/>
            <w:hideMark/>
          </w:tcPr>
          <w:p w14:paraId="27803433" w14:textId="77777777" w:rsidR="00E05E28" w:rsidRDefault="00E05E28">
            <w:pPr>
              <w:jc w:val="center"/>
              <w:rPr>
                <w:b/>
                <w:bCs/>
                <w:color w:val="000000"/>
              </w:rPr>
            </w:pPr>
            <w:r>
              <w:rPr>
                <w:b/>
                <w:bCs/>
                <w:color w:val="000000"/>
              </w:rPr>
              <w:t>A/R</w:t>
            </w:r>
          </w:p>
        </w:tc>
        <w:tc>
          <w:tcPr>
            <w:tcW w:w="804" w:type="pct"/>
            <w:tcBorders>
              <w:top w:val="single" w:sz="4" w:space="0" w:color="auto"/>
              <w:left w:val="single" w:sz="4" w:space="0" w:color="auto"/>
              <w:bottom w:val="single" w:sz="4" w:space="0" w:color="auto"/>
              <w:right w:val="single" w:sz="12" w:space="0" w:color="auto"/>
            </w:tcBorders>
            <w:shd w:val="clear" w:color="000000" w:fill="99FF66"/>
            <w:vAlign w:val="center"/>
            <w:hideMark/>
          </w:tcPr>
          <w:p w14:paraId="7C5F42E5" w14:textId="77777777" w:rsidR="00E05E28" w:rsidRDefault="00E05E28">
            <w:pPr>
              <w:jc w:val="center"/>
              <w:rPr>
                <w:b/>
                <w:bCs/>
                <w:color w:val="000000"/>
              </w:rPr>
            </w:pPr>
            <w:r>
              <w:rPr>
                <w:b/>
                <w:bCs/>
                <w:color w:val="000000"/>
              </w:rPr>
              <w:t>A/R</w:t>
            </w:r>
          </w:p>
        </w:tc>
        <w:tc>
          <w:tcPr>
            <w:tcW w:w="724" w:type="pct"/>
            <w:tcBorders>
              <w:top w:val="nil"/>
              <w:left w:val="single" w:sz="12" w:space="0" w:color="auto"/>
              <w:bottom w:val="single" w:sz="4" w:space="0" w:color="auto"/>
              <w:right w:val="single" w:sz="4" w:space="0" w:color="auto"/>
            </w:tcBorders>
            <w:vAlign w:val="center"/>
            <w:hideMark/>
          </w:tcPr>
          <w:p w14:paraId="6D963822" w14:textId="77777777" w:rsidR="00E05E28" w:rsidRDefault="00E05E28">
            <w:pPr>
              <w:jc w:val="center"/>
              <w:rPr>
                <w:b/>
                <w:bCs/>
                <w:color w:val="000000"/>
              </w:rPr>
            </w:pPr>
            <w:r>
              <w:rPr>
                <w:b/>
                <w:bCs/>
                <w:color w:val="000000"/>
              </w:rPr>
              <w:t>I</w:t>
            </w:r>
          </w:p>
        </w:tc>
        <w:tc>
          <w:tcPr>
            <w:tcW w:w="689" w:type="pct"/>
            <w:tcBorders>
              <w:top w:val="single" w:sz="4" w:space="0" w:color="auto"/>
              <w:left w:val="nil"/>
              <w:bottom w:val="single" w:sz="4" w:space="0" w:color="auto"/>
              <w:right w:val="single" w:sz="12" w:space="0" w:color="auto"/>
            </w:tcBorders>
            <w:vAlign w:val="center"/>
            <w:hideMark/>
          </w:tcPr>
          <w:p w14:paraId="36F474C0" w14:textId="77777777" w:rsidR="00E05E28" w:rsidRDefault="00E05E28">
            <w:pPr>
              <w:jc w:val="center"/>
              <w:rPr>
                <w:b/>
                <w:bCs/>
                <w:color w:val="000000"/>
              </w:rPr>
            </w:pPr>
            <w:r>
              <w:rPr>
                <w:b/>
                <w:bCs/>
                <w:color w:val="000000"/>
              </w:rPr>
              <w:t>I</w:t>
            </w:r>
          </w:p>
        </w:tc>
        <w:tc>
          <w:tcPr>
            <w:tcW w:w="865" w:type="pct"/>
            <w:tcBorders>
              <w:top w:val="nil"/>
              <w:left w:val="single" w:sz="12" w:space="0" w:color="auto"/>
              <w:bottom w:val="single" w:sz="4" w:space="0" w:color="auto"/>
              <w:right w:val="single" w:sz="8" w:space="0" w:color="auto"/>
            </w:tcBorders>
            <w:vAlign w:val="center"/>
            <w:hideMark/>
          </w:tcPr>
          <w:p w14:paraId="5B2FC217" w14:textId="77777777" w:rsidR="00E05E28" w:rsidRDefault="00E05E28">
            <w:pPr>
              <w:jc w:val="center"/>
              <w:rPr>
                <w:b/>
                <w:bCs/>
                <w:color w:val="000000"/>
              </w:rPr>
            </w:pPr>
            <w:r>
              <w:rPr>
                <w:b/>
                <w:bCs/>
                <w:color w:val="000000"/>
              </w:rPr>
              <w:t>C</w:t>
            </w:r>
          </w:p>
        </w:tc>
      </w:tr>
      <w:tr w:rsidR="00E05E28" w14:paraId="78AB4A60" w14:textId="77777777" w:rsidTr="00E05E28">
        <w:trPr>
          <w:trHeight w:val="315"/>
        </w:trPr>
        <w:tc>
          <w:tcPr>
            <w:tcW w:w="1112" w:type="pct"/>
            <w:tcBorders>
              <w:top w:val="nil"/>
              <w:left w:val="single" w:sz="8" w:space="0" w:color="auto"/>
              <w:bottom w:val="single" w:sz="4" w:space="0" w:color="auto"/>
              <w:right w:val="double" w:sz="6" w:space="0" w:color="auto"/>
            </w:tcBorders>
            <w:vAlign w:val="center"/>
            <w:hideMark/>
          </w:tcPr>
          <w:p w14:paraId="74E4539E" w14:textId="77777777" w:rsidR="00E05E28" w:rsidRDefault="00E05E28">
            <w:pPr>
              <w:rPr>
                <w:b/>
                <w:bCs/>
                <w:color w:val="000000"/>
              </w:rPr>
            </w:pPr>
            <w:r>
              <w:rPr>
                <w:b/>
                <w:bCs/>
                <w:color w:val="000000"/>
              </w:rPr>
              <w:t>Aetna Architecture</w:t>
            </w:r>
          </w:p>
        </w:tc>
        <w:tc>
          <w:tcPr>
            <w:tcW w:w="806" w:type="pct"/>
            <w:tcBorders>
              <w:top w:val="nil"/>
              <w:left w:val="nil"/>
              <w:bottom w:val="single" w:sz="4" w:space="0" w:color="auto"/>
              <w:right w:val="single" w:sz="4" w:space="0" w:color="auto"/>
            </w:tcBorders>
            <w:vAlign w:val="center"/>
            <w:hideMark/>
          </w:tcPr>
          <w:p w14:paraId="7668C17E" w14:textId="77777777" w:rsidR="00E05E28" w:rsidRDefault="00E05E28">
            <w:pPr>
              <w:jc w:val="center"/>
              <w:rPr>
                <w:b/>
                <w:bCs/>
                <w:color w:val="000000"/>
              </w:rPr>
            </w:pPr>
            <w:r>
              <w:rPr>
                <w:b/>
                <w:bCs/>
                <w:color w:val="000000"/>
              </w:rPr>
              <w:t>C</w:t>
            </w:r>
          </w:p>
        </w:tc>
        <w:tc>
          <w:tcPr>
            <w:tcW w:w="804" w:type="pct"/>
            <w:tcBorders>
              <w:top w:val="single" w:sz="4" w:space="0" w:color="auto"/>
              <w:left w:val="nil"/>
              <w:bottom w:val="single" w:sz="4" w:space="0" w:color="auto"/>
              <w:right w:val="single" w:sz="12" w:space="0" w:color="auto"/>
            </w:tcBorders>
            <w:vAlign w:val="center"/>
            <w:hideMark/>
          </w:tcPr>
          <w:p w14:paraId="2BD3EA99" w14:textId="77777777" w:rsidR="00E05E28" w:rsidRDefault="00E05E28">
            <w:pPr>
              <w:jc w:val="center"/>
              <w:rPr>
                <w:b/>
                <w:bCs/>
                <w:color w:val="000000"/>
              </w:rPr>
            </w:pPr>
            <w:r>
              <w:rPr>
                <w:b/>
                <w:bCs/>
                <w:color w:val="000000"/>
              </w:rPr>
              <w:t>C</w:t>
            </w:r>
          </w:p>
        </w:tc>
        <w:tc>
          <w:tcPr>
            <w:tcW w:w="724" w:type="pct"/>
            <w:tcBorders>
              <w:top w:val="single" w:sz="4" w:space="0" w:color="auto"/>
              <w:left w:val="single" w:sz="12" w:space="0" w:color="auto"/>
              <w:bottom w:val="single" w:sz="4" w:space="0" w:color="auto"/>
              <w:right w:val="single" w:sz="4" w:space="0" w:color="auto"/>
            </w:tcBorders>
            <w:shd w:val="clear" w:color="000000" w:fill="99FF66"/>
            <w:vAlign w:val="center"/>
            <w:hideMark/>
          </w:tcPr>
          <w:p w14:paraId="7BDBB1BE" w14:textId="77777777" w:rsidR="00E05E28" w:rsidRDefault="00E05E28">
            <w:pPr>
              <w:jc w:val="center"/>
              <w:rPr>
                <w:b/>
                <w:bCs/>
                <w:color w:val="000000"/>
              </w:rPr>
            </w:pPr>
            <w:r>
              <w:rPr>
                <w:b/>
                <w:bCs/>
                <w:color w:val="000000"/>
              </w:rPr>
              <w:t>A/R</w:t>
            </w:r>
          </w:p>
        </w:tc>
        <w:tc>
          <w:tcPr>
            <w:tcW w:w="689" w:type="pct"/>
            <w:tcBorders>
              <w:top w:val="single" w:sz="4" w:space="0" w:color="auto"/>
              <w:left w:val="nil"/>
              <w:bottom w:val="single" w:sz="4" w:space="0" w:color="auto"/>
              <w:right w:val="single" w:sz="12" w:space="0" w:color="auto"/>
            </w:tcBorders>
            <w:vAlign w:val="center"/>
            <w:hideMark/>
          </w:tcPr>
          <w:p w14:paraId="363EAEC6" w14:textId="77777777" w:rsidR="00E05E28" w:rsidRDefault="00E05E28">
            <w:pPr>
              <w:jc w:val="center"/>
              <w:rPr>
                <w:b/>
                <w:bCs/>
                <w:color w:val="000000"/>
              </w:rPr>
            </w:pPr>
            <w:r>
              <w:rPr>
                <w:b/>
                <w:bCs/>
                <w:color w:val="000000"/>
              </w:rPr>
              <w:t>C</w:t>
            </w:r>
          </w:p>
        </w:tc>
        <w:tc>
          <w:tcPr>
            <w:tcW w:w="865" w:type="pct"/>
            <w:tcBorders>
              <w:top w:val="single" w:sz="4" w:space="0" w:color="auto"/>
              <w:left w:val="single" w:sz="12" w:space="0" w:color="auto"/>
              <w:bottom w:val="single" w:sz="4" w:space="0" w:color="auto"/>
              <w:right w:val="single" w:sz="8" w:space="0" w:color="auto"/>
            </w:tcBorders>
            <w:shd w:val="clear" w:color="000000" w:fill="99FF66"/>
            <w:vAlign w:val="center"/>
            <w:hideMark/>
          </w:tcPr>
          <w:p w14:paraId="1DC3B960" w14:textId="77777777" w:rsidR="00E05E28" w:rsidRDefault="00E05E28">
            <w:pPr>
              <w:jc w:val="center"/>
              <w:rPr>
                <w:b/>
                <w:bCs/>
                <w:color w:val="000000"/>
              </w:rPr>
            </w:pPr>
            <w:r>
              <w:rPr>
                <w:b/>
                <w:bCs/>
                <w:color w:val="000000"/>
              </w:rPr>
              <w:t>R</w:t>
            </w:r>
          </w:p>
        </w:tc>
      </w:tr>
      <w:tr w:rsidR="00E05E28" w14:paraId="2BD89CB2" w14:textId="77777777" w:rsidTr="00E05E28">
        <w:trPr>
          <w:trHeight w:val="315"/>
        </w:trPr>
        <w:tc>
          <w:tcPr>
            <w:tcW w:w="1112" w:type="pct"/>
            <w:tcBorders>
              <w:top w:val="nil"/>
              <w:left w:val="single" w:sz="8" w:space="0" w:color="auto"/>
              <w:bottom w:val="single" w:sz="4" w:space="0" w:color="auto"/>
              <w:right w:val="double" w:sz="6" w:space="0" w:color="auto"/>
            </w:tcBorders>
            <w:vAlign w:val="center"/>
            <w:hideMark/>
          </w:tcPr>
          <w:p w14:paraId="5E512F0C" w14:textId="77777777" w:rsidR="00E05E28" w:rsidRDefault="00E05E28">
            <w:pPr>
              <w:rPr>
                <w:b/>
                <w:bCs/>
                <w:color w:val="000000"/>
              </w:rPr>
            </w:pPr>
            <w:r>
              <w:rPr>
                <w:b/>
                <w:bCs/>
                <w:color w:val="000000"/>
              </w:rPr>
              <w:t>CVS Architecture</w:t>
            </w:r>
          </w:p>
        </w:tc>
        <w:tc>
          <w:tcPr>
            <w:tcW w:w="806" w:type="pct"/>
            <w:tcBorders>
              <w:top w:val="nil"/>
              <w:left w:val="nil"/>
              <w:bottom w:val="single" w:sz="4" w:space="0" w:color="auto"/>
              <w:right w:val="single" w:sz="4" w:space="0" w:color="auto"/>
            </w:tcBorders>
            <w:vAlign w:val="center"/>
            <w:hideMark/>
          </w:tcPr>
          <w:p w14:paraId="6B86C808" w14:textId="77777777" w:rsidR="00E05E28" w:rsidRDefault="00E05E28">
            <w:pPr>
              <w:jc w:val="center"/>
              <w:rPr>
                <w:b/>
                <w:bCs/>
                <w:color w:val="000000"/>
              </w:rPr>
            </w:pPr>
            <w:r>
              <w:rPr>
                <w:b/>
                <w:bCs/>
                <w:color w:val="000000"/>
              </w:rPr>
              <w:t>C</w:t>
            </w:r>
          </w:p>
        </w:tc>
        <w:tc>
          <w:tcPr>
            <w:tcW w:w="804" w:type="pct"/>
            <w:tcBorders>
              <w:top w:val="single" w:sz="4" w:space="0" w:color="auto"/>
              <w:left w:val="single" w:sz="4" w:space="0" w:color="auto"/>
              <w:bottom w:val="single" w:sz="4" w:space="0" w:color="auto"/>
              <w:right w:val="single" w:sz="12" w:space="0" w:color="auto"/>
            </w:tcBorders>
            <w:shd w:val="clear" w:color="000000" w:fill="99FF66"/>
            <w:vAlign w:val="center"/>
            <w:hideMark/>
          </w:tcPr>
          <w:p w14:paraId="2CB4D198" w14:textId="77777777" w:rsidR="00E05E28" w:rsidRDefault="00E05E28">
            <w:pPr>
              <w:jc w:val="center"/>
              <w:rPr>
                <w:b/>
                <w:bCs/>
                <w:color w:val="000000"/>
              </w:rPr>
            </w:pPr>
            <w:r>
              <w:rPr>
                <w:b/>
                <w:bCs/>
                <w:color w:val="000000"/>
              </w:rPr>
              <w:t>R</w:t>
            </w:r>
          </w:p>
        </w:tc>
        <w:tc>
          <w:tcPr>
            <w:tcW w:w="724" w:type="pct"/>
            <w:tcBorders>
              <w:top w:val="nil"/>
              <w:left w:val="single" w:sz="12" w:space="0" w:color="auto"/>
              <w:bottom w:val="single" w:sz="4" w:space="0" w:color="auto"/>
              <w:right w:val="single" w:sz="4" w:space="0" w:color="auto"/>
            </w:tcBorders>
            <w:vAlign w:val="center"/>
            <w:hideMark/>
          </w:tcPr>
          <w:p w14:paraId="2FD98345" w14:textId="77777777" w:rsidR="00E05E28" w:rsidRDefault="00E05E28">
            <w:pPr>
              <w:jc w:val="center"/>
              <w:rPr>
                <w:b/>
                <w:bCs/>
                <w:color w:val="000000"/>
              </w:rPr>
            </w:pPr>
            <w:r>
              <w:rPr>
                <w:b/>
                <w:bCs/>
                <w:color w:val="000000"/>
              </w:rPr>
              <w:t>I</w:t>
            </w:r>
          </w:p>
        </w:tc>
        <w:tc>
          <w:tcPr>
            <w:tcW w:w="689" w:type="pct"/>
            <w:tcBorders>
              <w:top w:val="single" w:sz="4" w:space="0" w:color="auto"/>
              <w:left w:val="nil"/>
              <w:bottom w:val="single" w:sz="4" w:space="0" w:color="auto"/>
              <w:right w:val="single" w:sz="12" w:space="0" w:color="auto"/>
            </w:tcBorders>
            <w:vAlign w:val="center"/>
            <w:hideMark/>
          </w:tcPr>
          <w:p w14:paraId="468DB9BE" w14:textId="77777777" w:rsidR="00E05E28" w:rsidRDefault="00E05E28">
            <w:pPr>
              <w:jc w:val="center"/>
              <w:rPr>
                <w:b/>
                <w:bCs/>
                <w:color w:val="000000"/>
              </w:rPr>
            </w:pPr>
            <w:r>
              <w:rPr>
                <w:b/>
                <w:bCs/>
                <w:color w:val="000000"/>
              </w:rPr>
              <w:t>I</w:t>
            </w:r>
          </w:p>
        </w:tc>
        <w:tc>
          <w:tcPr>
            <w:tcW w:w="865" w:type="pct"/>
            <w:tcBorders>
              <w:top w:val="single" w:sz="4" w:space="0" w:color="auto"/>
              <w:left w:val="single" w:sz="12" w:space="0" w:color="auto"/>
              <w:bottom w:val="single" w:sz="4" w:space="0" w:color="auto"/>
              <w:right w:val="single" w:sz="8" w:space="0" w:color="auto"/>
            </w:tcBorders>
            <w:shd w:val="clear" w:color="000000" w:fill="99FF66"/>
            <w:vAlign w:val="center"/>
            <w:hideMark/>
          </w:tcPr>
          <w:p w14:paraId="461B9965" w14:textId="77777777" w:rsidR="00E05E28" w:rsidRDefault="00E05E28">
            <w:pPr>
              <w:jc w:val="center"/>
              <w:rPr>
                <w:b/>
                <w:bCs/>
                <w:color w:val="000000"/>
              </w:rPr>
            </w:pPr>
            <w:r>
              <w:rPr>
                <w:b/>
                <w:bCs/>
                <w:color w:val="000000"/>
              </w:rPr>
              <w:t>R</w:t>
            </w:r>
          </w:p>
        </w:tc>
      </w:tr>
      <w:tr w:rsidR="00E05E28" w14:paraId="03BCBB1C" w14:textId="77777777" w:rsidTr="00E05E28">
        <w:trPr>
          <w:trHeight w:val="315"/>
        </w:trPr>
        <w:tc>
          <w:tcPr>
            <w:tcW w:w="1112" w:type="pct"/>
            <w:tcBorders>
              <w:top w:val="nil"/>
              <w:left w:val="single" w:sz="8" w:space="0" w:color="auto"/>
              <w:bottom w:val="single" w:sz="4" w:space="0" w:color="auto"/>
              <w:right w:val="double" w:sz="6" w:space="0" w:color="auto"/>
            </w:tcBorders>
            <w:vAlign w:val="center"/>
            <w:hideMark/>
          </w:tcPr>
          <w:p w14:paraId="30002CCF" w14:textId="77777777" w:rsidR="00E05E28" w:rsidRDefault="00E05E28">
            <w:pPr>
              <w:rPr>
                <w:b/>
                <w:bCs/>
                <w:color w:val="000000"/>
              </w:rPr>
            </w:pPr>
            <w:r>
              <w:rPr>
                <w:b/>
                <w:bCs/>
                <w:color w:val="000000"/>
              </w:rPr>
              <w:t>Aetna XD/Content</w:t>
            </w:r>
          </w:p>
        </w:tc>
        <w:tc>
          <w:tcPr>
            <w:tcW w:w="806" w:type="pct"/>
            <w:tcBorders>
              <w:top w:val="nil"/>
              <w:left w:val="nil"/>
              <w:bottom w:val="single" w:sz="4" w:space="0" w:color="auto"/>
              <w:right w:val="single" w:sz="4" w:space="0" w:color="auto"/>
            </w:tcBorders>
            <w:vAlign w:val="center"/>
            <w:hideMark/>
          </w:tcPr>
          <w:p w14:paraId="11C3DA5E" w14:textId="77777777" w:rsidR="00E05E28" w:rsidRDefault="00E05E28">
            <w:pPr>
              <w:jc w:val="center"/>
              <w:rPr>
                <w:b/>
                <w:bCs/>
                <w:color w:val="000000"/>
              </w:rPr>
            </w:pPr>
            <w:r>
              <w:rPr>
                <w:b/>
                <w:bCs/>
                <w:color w:val="000000"/>
              </w:rPr>
              <w:t>C</w:t>
            </w:r>
          </w:p>
        </w:tc>
        <w:tc>
          <w:tcPr>
            <w:tcW w:w="804" w:type="pct"/>
            <w:tcBorders>
              <w:top w:val="single" w:sz="4" w:space="0" w:color="auto"/>
              <w:left w:val="nil"/>
              <w:bottom w:val="single" w:sz="4" w:space="0" w:color="auto"/>
              <w:right w:val="single" w:sz="12" w:space="0" w:color="auto"/>
            </w:tcBorders>
            <w:vAlign w:val="center"/>
            <w:hideMark/>
          </w:tcPr>
          <w:p w14:paraId="219D0179" w14:textId="77777777" w:rsidR="00E05E28" w:rsidRDefault="00E05E28">
            <w:pPr>
              <w:jc w:val="center"/>
              <w:rPr>
                <w:b/>
                <w:bCs/>
                <w:color w:val="000000"/>
              </w:rPr>
            </w:pPr>
            <w:r>
              <w:rPr>
                <w:b/>
                <w:bCs/>
                <w:color w:val="000000"/>
              </w:rPr>
              <w:t>C</w:t>
            </w:r>
          </w:p>
        </w:tc>
        <w:tc>
          <w:tcPr>
            <w:tcW w:w="724" w:type="pct"/>
            <w:tcBorders>
              <w:top w:val="single" w:sz="4" w:space="0" w:color="auto"/>
              <w:left w:val="single" w:sz="12" w:space="0" w:color="auto"/>
              <w:bottom w:val="single" w:sz="4" w:space="0" w:color="auto"/>
              <w:right w:val="single" w:sz="4" w:space="0" w:color="auto"/>
            </w:tcBorders>
            <w:shd w:val="clear" w:color="000000" w:fill="99FF66"/>
            <w:vAlign w:val="center"/>
            <w:hideMark/>
          </w:tcPr>
          <w:p w14:paraId="1F4E30B6" w14:textId="77777777" w:rsidR="00E05E28" w:rsidRDefault="00E05E28">
            <w:pPr>
              <w:jc w:val="center"/>
              <w:rPr>
                <w:b/>
                <w:bCs/>
                <w:color w:val="000000"/>
              </w:rPr>
            </w:pPr>
            <w:r>
              <w:rPr>
                <w:b/>
                <w:bCs/>
                <w:color w:val="000000"/>
              </w:rPr>
              <w:t>R</w:t>
            </w:r>
          </w:p>
        </w:tc>
        <w:tc>
          <w:tcPr>
            <w:tcW w:w="689" w:type="pct"/>
            <w:tcBorders>
              <w:top w:val="single" w:sz="4" w:space="0" w:color="auto"/>
              <w:left w:val="nil"/>
              <w:bottom w:val="single" w:sz="4" w:space="0" w:color="auto"/>
              <w:right w:val="single" w:sz="12" w:space="0" w:color="auto"/>
            </w:tcBorders>
            <w:vAlign w:val="center"/>
            <w:hideMark/>
          </w:tcPr>
          <w:p w14:paraId="15AF80F9" w14:textId="77777777" w:rsidR="00E05E28" w:rsidRDefault="00E05E28">
            <w:pPr>
              <w:jc w:val="center"/>
              <w:rPr>
                <w:b/>
                <w:bCs/>
                <w:color w:val="000000"/>
              </w:rPr>
            </w:pPr>
            <w:r>
              <w:rPr>
                <w:b/>
                <w:bCs/>
                <w:color w:val="000000"/>
              </w:rPr>
              <w:t>C</w:t>
            </w:r>
          </w:p>
        </w:tc>
        <w:tc>
          <w:tcPr>
            <w:tcW w:w="865" w:type="pct"/>
            <w:tcBorders>
              <w:top w:val="single" w:sz="4" w:space="0" w:color="auto"/>
              <w:left w:val="single" w:sz="12" w:space="0" w:color="auto"/>
              <w:bottom w:val="single" w:sz="4" w:space="0" w:color="auto"/>
              <w:right w:val="single" w:sz="8" w:space="0" w:color="auto"/>
            </w:tcBorders>
            <w:shd w:val="clear" w:color="000000" w:fill="99FF66"/>
            <w:vAlign w:val="center"/>
            <w:hideMark/>
          </w:tcPr>
          <w:p w14:paraId="08F3958B" w14:textId="77777777" w:rsidR="00E05E28" w:rsidRDefault="00E05E28">
            <w:pPr>
              <w:jc w:val="center"/>
              <w:rPr>
                <w:b/>
                <w:bCs/>
                <w:color w:val="000000"/>
              </w:rPr>
            </w:pPr>
            <w:r>
              <w:rPr>
                <w:b/>
                <w:bCs/>
                <w:color w:val="000000"/>
              </w:rPr>
              <w:t>R</w:t>
            </w:r>
          </w:p>
        </w:tc>
      </w:tr>
      <w:tr w:rsidR="00E05E28" w14:paraId="39812F98" w14:textId="77777777" w:rsidTr="00E05E28">
        <w:trPr>
          <w:trHeight w:val="315"/>
        </w:trPr>
        <w:tc>
          <w:tcPr>
            <w:tcW w:w="1112" w:type="pct"/>
            <w:tcBorders>
              <w:top w:val="nil"/>
              <w:left w:val="single" w:sz="8" w:space="0" w:color="auto"/>
              <w:bottom w:val="single" w:sz="4" w:space="0" w:color="auto"/>
              <w:right w:val="double" w:sz="6" w:space="0" w:color="auto"/>
            </w:tcBorders>
            <w:vAlign w:val="center"/>
            <w:hideMark/>
          </w:tcPr>
          <w:p w14:paraId="7A62CAD4" w14:textId="77777777" w:rsidR="00E05E28" w:rsidRDefault="00E05E28">
            <w:pPr>
              <w:rPr>
                <w:b/>
                <w:bCs/>
                <w:color w:val="000000"/>
              </w:rPr>
            </w:pPr>
            <w:r>
              <w:rPr>
                <w:b/>
                <w:bCs/>
                <w:color w:val="000000"/>
              </w:rPr>
              <w:t>Aetna Engineering</w:t>
            </w:r>
          </w:p>
        </w:tc>
        <w:tc>
          <w:tcPr>
            <w:tcW w:w="806" w:type="pct"/>
            <w:tcBorders>
              <w:top w:val="nil"/>
              <w:left w:val="nil"/>
              <w:bottom w:val="single" w:sz="4" w:space="0" w:color="auto"/>
              <w:right w:val="single" w:sz="4" w:space="0" w:color="auto"/>
            </w:tcBorders>
            <w:vAlign w:val="center"/>
            <w:hideMark/>
          </w:tcPr>
          <w:p w14:paraId="3B0C26EB" w14:textId="77777777" w:rsidR="00E05E28" w:rsidRDefault="00E05E28">
            <w:pPr>
              <w:jc w:val="center"/>
              <w:rPr>
                <w:b/>
                <w:bCs/>
                <w:color w:val="000000"/>
              </w:rPr>
            </w:pPr>
            <w:r>
              <w:rPr>
                <w:b/>
                <w:bCs/>
                <w:color w:val="000000"/>
              </w:rPr>
              <w:t>C</w:t>
            </w:r>
          </w:p>
        </w:tc>
        <w:tc>
          <w:tcPr>
            <w:tcW w:w="804" w:type="pct"/>
            <w:tcBorders>
              <w:top w:val="single" w:sz="4" w:space="0" w:color="auto"/>
              <w:left w:val="nil"/>
              <w:bottom w:val="single" w:sz="4" w:space="0" w:color="auto"/>
              <w:right w:val="single" w:sz="12" w:space="0" w:color="auto"/>
            </w:tcBorders>
            <w:vAlign w:val="center"/>
            <w:hideMark/>
          </w:tcPr>
          <w:p w14:paraId="5C3DE19B" w14:textId="77777777" w:rsidR="00E05E28" w:rsidRDefault="00E05E28">
            <w:pPr>
              <w:jc w:val="center"/>
              <w:rPr>
                <w:b/>
                <w:bCs/>
                <w:color w:val="000000"/>
              </w:rPr>
            </w:pPr>
            <w:r>
              <w:rPr>
                <w:b/>
                <w:bCs/>
                <w:color w:val="000000"/>
              </w:rPr>
              <w:t>C</w:t>
            </w:r>
          </w:p>
        </w:tc>
        <w:tc>
          <w:tcPr>
            <w:tcW w:w="724" w:type="pct"/>
            <w:tcBorders>
              <w:top w:val="single" w:sz="4" w:space="0" w:color="auto"/>
              <w:left w:val="single" w:sz="12" w:space="0" w:color="auto"/>
              <w:bottom w:val="single" w:sz="4" w:space="0" w:color="auto"/>
              <w:right w:val="single" w:sz="4" w:space="0" w:color="auto"/>
            </w:tcBorders>
            <w:shd w:val="clear" w:color="000000" w:fill="99FF66"/>
            <w:vAlign w:val="center"/>
            <w:hideMark/>
          </w:tcPr>
          <w:p w14:paraId="4D04E826" w14:textId="77777777" w:rsidR="00E05E28" w:rsidRDefault="00E05E28">
            <w:pPr>
              <w:jc w:val="center"/>
              <w:rPr>
                <w:b/>
                <w:bCs/>
                <w:color w:val="000000"/>
              </w:rPr>
            </w:pPr>
            <w:r>
              <w:rPr>
                <w:b/>
                <w:bCs/>
                <w:color w:val="000000"/>
              </w:rPr>
              <w:t>A/R</w:t>
            </w:r>
          </w:p>
        </w:tc>
        <w:tc>
          <w:tcPr>
            <w:tcW w:w="689" w:type="pct"/>
            <w:tcBorders>
              <w:top w:val="single" w:sz="4" w:space="0" w:color="auto"/>
              <w:left w:val="single" w:sz="4" w:space="0" w:color="auto"/>
              <w:bottom w:val="single" w:sz="4" w:space="0" w:color="auto"/>
              <w:right w:val="single" w:sz="12" w:space="0" w:color="auto"/>
            </w:tcBorders>
            <w:shd w:val="clear" w:color="000000" w:fill="99FF66"/>
            <w:vAlign w:val="center"/>
            <w:hideMark/>
          </w:tcPr>
          <w:p w14:paraId="504AE8C6" w14:textId="77777777" w:rsidR="00E05E28" w:rsidRDefault="00E05E28">
            <w:pPr>
              <w:jc w:val="center"/>
              <w:rPr>
                <w:b/>
                <w:bCs/>
                <w:color w:val="000000"/>
              </w:rPr>
            </w:pPr>
            <w:r>
              <w:rPr>
                <w:b/>
                <w:bCs/>
                <w:color w:val="000000"/>
              </w:rPr>
              <w:t>R</w:t>
            </w:r>
          </w:p>
        </w:tc>
        <w:tc>
          <w:tcPr>
            <w:tcW w:w="865" w:type="pct"/>
            <w:tcBorders>
              <w:top w:val="single" w:sz="4" w:space="0" w:color="auto"/>
              <w:left w:val="single" w:sz="12" w:space="0" w:color="auto"/>
              <w:bottom w:val="single" w:sz="4" w:space="0" w:color="auto"/>
              <w:right w:val="single" w:sz="8" w:space="0" w:color="auto"/>
            </w:tcBorders>
            <w:shd w:val="clear" w:color="000000" w:fill="99FF66"/>
            <w:vAlign w:val="center"/>
            <w:hideMark/>
          </w:tcPr>
          <w:p w14:paraId="64D0CE24" w14:textId="77777777" w:rsidR="00E05E28" w:rsidRDefault="00E05E28">
            <w:pPr>
              <w:jc w:val="center"/>
              <w:rPr>
                <w:b/>
                <w:bCs/>
                <w:color w:val="000000"/>
              </w:rPr>
            </w:pPr>
            <w:r>
              <w:rPr>
                <w:b/>
                <w:bCs/>
                <w:color w:val="000000"/>
              </w:rPr>
              <w:t>A/R</w:t>
            </w:r>
          </w:p>
        </w:tc>
      </w:tr>
      <w:tr w:rsidR="00E05E28" w14:paraId="6147E262" w14:textId="77777777" w:rsidTr="00E05E28">
        <w:trPr>
          <w:trHeight w:val="315"/>
        </w:trPr>
        <w:tc>
          <w:tcPr>
            <w:tcW w:w="1112" w:type="pct"/>
            <w:tcBorders>
              <w:top w:val="nil"/>
              <w:left w:val="single" w:sz="8" w:space="0" w:color="auto"/>
              <w:bottom w:val="single" w:sz="4" w:space="0" w:color="auto"/>
              <w:right w:val="double" w:sz="6" w:space="0" w:color="auto"/>
            </w:tcBorders>
            <w:vAlign w:val="center"/>
            <w:hideMark/>
          </w:tcPr>
          <w:p w14:paraId="2C0B9F01" w14:textId="77777777" w:rsidR="00E05E28" w:rsidRDefault="00E05E28">
            <w:pPr>
              <w:rPr>
                <w:b/>
                <w:bCs/>
                <w:color w:val="000000"/>
              </w:rPr>
            </w:pPr>
            <w:r>
              <w:rPr>
                <w:b/>
                <w:bCs/>
                <w:color w:val="000000"/>
              </w:rPr>
              <w:t>CVS Engineering</w:t>
            </w:r>
          </w:p>
        </w:tc>
        <w:tc>
          <w:tcPr>
            <w:tcW w:w="806" w:type="pct"/>
            <w:tcBorders>
              <w:top w:val="nil"/>
              <w:left w:val="nil"/>
              <w:bottom w:val="single" w:sz="4" w:space="0" w:color="auto"/>
              <w:right w:val="single" w:sz="4" w:space="0" w:color="auto"/>
            </w:tcBorders>
            <w:vAlign w:val="center"/>
            <w:hideMark/>
          </w:tcPr>
          <w:p w14:paraId="54DFB976" w14:textId="77777777" w:rsidR="00E05E28" w:rsidRDefault="00E05E28">
            <w:pPr>
              <w:jc w:val="center"/>
              <w:rPr>
                <w:b/>
                <w:bCs/>
                <w:color w:val="000000"/>
              </w:rPr>
            </w:pPr>
            <w:r>
              <w:rPr>
                <w:b/>
                <w:bCs/>
                <w:color w:val="000000"/>
              </w:rPr>
              <w:t>C</w:t>
            </w:r>
          </w:p>
        </w:tc>
        <w:tc>
          <w:tcPr>
            <w:tcW w:w="804" w:type="pct"/>
            <w:tcBorders>
              <w:top w:val="single" w:sz="4" w:space="0" w:color="auto"/>
              <w:left w:val="single" w:sz="4" w:space="0" w:color="auto"/>
              <w:bottom w:val="single" w:sz="4" w:space="0" w:color="auto"/>
              <w:right w:val="single" w:sz="12" w:space="0" w:color="auto"/>
            </w:tcBorders>
            <w:shd w:val="clear" w:color="000000" w:fill="99FF66"/>
            <w:vAlign w:val="center"/>
            <w:hideMark/>
          </w:tcPr>
          <w:p w14:paraId="25DAC460" w14:textId="77777777" w:rsidR="00E05E28" w:rsidRDefault="00E05E28">
            <w:pPr>
              <w:jc w:val="center"/>
              <w:rPr>
                <w:b/>
                <w:bCs/>
                <w:color w:val="000000"/>
              </w:rPr>
            </w:pPr>
            <w:r>
              <w:rPr>
                <w:b/>
                <w:bCs/>
                <w:color w:val="000000"/>
              </w:rPr>
              <w:t>R</w:t>
            </w:r>
          </w:p>
        </w:tc>
        <w:tc>
          <w:tcPr>
            <w:tcW w:w="724" w:type="pct"/>
            <w:tcBorders>
              <w:top w:val="nil"/>
              <w:left w:val="single" w:sz="12" w:space="0" w:color="auto"/>
              <w:bottom w:val="single" w:sz="4" w:space="0" w:color="auto"/>
              <w:right w:val="single" w:sz="4" w:space="0" w:color="auto"/>
            </w:tcBorders>
            <w:vAlign w:val="center"/>
            <w:hideMark/>
          </w:tcPr>
          <w:p w14:paraId="54AC6EEA" w14:textId="77777777" w:rsidR="00E05E28" w:rsidRDefault="00E05E28">
            <w:pPr>
              <w:jc w:val="center"/>
              <w:rPr>
                <w:b/>
                <w:bCs/>
                <w:color w:val="000000"/>
              </w:rPr>
            </w:pPr>
            <w:r>
              <w:rPr>
                <w:b/>
                <w:bCs/>
                <w:color w:val="000000"/>
              </w:rPr>
              <w:t>I</w:t>
            </w:r>
          </w:p>
        </w:tc>
        <w:tc>
          <w:tcPr>
            <w:tcW w:w="689" w:type="pct"/>
            <w:tcBorders>
              <w:top w:val="single" w:sz="4" w:space="0" w:color="auto"/>
              <w:left w:val="nil"/>
              <w:bottom w:val="single" w:sz="4" w:space="0" w:color="auto"/>
              <w:right w:val="single" w:sz="12" w:space="0" w:color="auto"/>
            </w:tcBorders>
            <w:vAlign w:val="center"/>
            <w:hideMark/>
          </w:tcPr>
          <w:p w14:paraId="7627F141" w14:textId="77777777" w:rsidR="00E05E28" w:rsidRDefault="00E05E28">
            <w:pPr>
              <w:jc w:val="center"/>
              <w:rPr>
                <w:b/>
                <w:bCs/>
                <w:color w:val="000000"/>
              </w:rPr>
            </w:pPr>
            <w:r>
              <w:rPr>
                <w:b/>
                <w:bCs/>
                <w:color w:val="000000"/>
              </w:rPr>
              <w:t>I</w:t>
            </w:r>
          </w:p>
        </w:tc>
        <w:tc>
          <w:tcPr>
            <w:tcW w:w="865" w:type="pct"/>
            <w:tcBorders>
              <w:top w:val="single" w:sz="4" w:space="0" w:color="auto"/>
              <w:left w:val="single" w:sz="12" w:space="0" w:color="auto"/>
              <w:bottom w:val="single" w:sz="4" w:space="0" w:color="auto"/>
              <w:right w:val="single" w:sz="8" w:space="0" w:color="auto"/>
            </w:tcBorders>
            <w:shd w:val="clear" w:color="000000" w:fill="99FF66"/>
            <w:vAlign w:val="center"/>
            <w:hideMark/>
          </w:tcPr>
          <w:p w14:paraId="755F3A2E" w14:textId="77777777" w:rsidR="00E05E28" w:rsidRDefault="00E05E28">
            <w:pPr>
              <w:jc w:val="center"/>
              <w:rPr>
                <w:b/>
                <w:bCs/>
                <w:color w:val="000000"/>
              </w:rPr>
            </w:pPr>
            <w:r>
              <w:rPr>
                <w:b/>
                <w:bCs/>
                <w:color w:val="000000"/>
              </w:rPr>
              <w:t>A/R</w:t>
            </w:r>
          </w:p>
        </w:tc>
      </w:tr>
      <w:tr w:rsidR="00E05E28" w14:paraId="1D574FD4" w14:textId="77777777" w:rsidTr="00E05E28">
        <w:trPr>
          <w:trHeight w:val="315"/>
        </w:trPr>
        <w:tc>
          <w:tcPr>
            <w:tcW w:w="1112" w:type="pct"/>
            <w:tcBorders>
              <w:top w:val="nil"/>
              <w:left w:val="single" w:sz="8" w:space="0" w:color="auto"/>
              <w:bottom w:val="single" w:sz="4" w:space="0" w:color="auto"/>
              <w:right w:val="double" w:sz="6" w:space="0" w:color="auto"/>
            </w:tcBorders>
            <w:vAlign w:val="center"/>
            <w:hideMark/>
          </w:tcPr>
          <w:p w14:paraId="1DC4A431" w14:textId="77777777" w:rsidR="00E05E28" w:rsidRDefault="00E05E28">
            <w:pPr>
              <w:rPr>
                <w:b/>
                <w:bCs/>
                <w:color w:val="000000"/>
              </w:rPr>
            </w:pPr>
            <w:r>
              <w:rPr>
                <w:b/>
                <w:bCs/>
                <w:color w:val="000000"/>
              </w:rPr>
              <w:t>Aetna QA/Data</w:t>
            </w:r>
          </w:p>
        </w:tc>
        <w:tc>
          <w:tcPr>
            <w:tcW w:w="806" w:type="pct"/>
            <w:tcBorders>
              <w:top w:val="nil"/>
              <w:left w:val="nil"/>
              <w:bottom w:val="single" w:sz="4" w:space="0" w:color="auto"/>
              <w:right w:val="single" w:sz="4" w:space="0" w:color="auto"/>
            </w:tcBorders>
            <w:vAlign w:val="center"/>
            <w:hideMark/>
          </w:tcPr>
          <w:p w14:paraId="1BDBB66F" w14:textId="67447B96" w:rsidR="00E05E28" w:rsidRDefault="00E05E28">
            <w:pPr>
              <w:jc w:val="center"/>
              <w:rPr>
                <w:b/>
                <w:bCs/>
                <w:color w:val="000000"/>
              </w:rPr>
            </w:pPr>
            <w:r>
              <w:rPr>
                <w:b/>
                <w:bCs/>
                <w:color w:val="000000"/>
              </w:rPr>
              <w:t>x</w:t>
            </w:r>
          </w:p>
        </w:tc>
        <w:tc>
          <w:tcPr>
            <w:tcW w:w="804" w:type="pct"/>
            <w:tcBorders>
              <w:top w:val="single" w:sz="4" w:space="0" w:color="auto"/>
              <w:left w:val="nil"/>
              <w:bottom w:val="single" w:sz="4" w:space="0" w:color="auto"/>
              <w:right w:val="single" w:sz="12" w:space="0" w:color="auto"/>
            </w:tcBorders>
            <w:vAlign w:val="center"/>
            <w:hideMark/>
          </w:tcPr>
          <w:p w14:paraId="56F27081" w14:textId="20FA2306" w:rsidR="00E05E28" w:rsidRDefault="00E05E28">
            <w:pPr>
              <w:jc w:val="center"/>
              <w:rPr>
                <w:b/>
                <w:bCs/>
                <w:color w:val="000000"/>
              </w:rPr>
            </w:pPr>
            <w:r>
              <w:rPr>
                <w:b/>
                <w:bCs/>
                <w:color w:val="000000"/>
              </w:rPr>
              <w:t>x</w:t>
            </w:r>
          </w:p>
        </w:tc>
        <w:tc>
          <w:tcPr>
            <w:tcW w:w="724" w:type="pct"/>
            <w:tcBorders>
              <w:top w:val="nil"/>
              <w:left w:val="single" w:sz="12" w:space="0" w:color="auto"/>
              <w:bottom w:val="single" w:sz="4" w:space="0" w:color="auto"/>
              <w:right w:val="single" w:sz="4" w:space="0" w:color="auto"/>
            </w:tcBorders>
            <w:vAlign w:val="center"/>
            <w:hideMark/>
          </w:tcPr>
          <w:p w14:paraId="2DD2D6D6" w14:textId="22CC5A67" w:rsidR="00E05E28" w:rsidRDefault="00E05E28">
            <w:pPr>
              <w:jc w:val="center"/>
              <w:rPr>
                <w:b/>
                <w:bCs/>
                <w:color w:val="000000"/>
              </w:rPr>
            </w:pPr>
            <w:r>
              <w:rPr>
                <w:b/>
                <w:bCs/>
                <w:color w:val="000000"/>
              </w:rPr>
              <w:t>x</w:t>
            </w:r>
          </w:p>
        </w:tc>
        <w:tc>
          <w:tcPr>
            <w:tcW w:w="689" w:type="pct"/>
            <w:tcBorders>
              <w:top w:val="single" w:sz="4" w:space="0" w:color="auto"/>
              <w:left w:val="nil"/>
              <w:bottom w:val="single" w:sz="4" w:space="0" w:color="auto"/>
              <w:right w:val="single" w:sz="12" w:space="0" w:color="auto"/>
            </w:tcBorders>
            <w:vAlign w:val="center"/>
            <w:hideMark/>
          </w:tcPr>
          <w:p w14:paraId="0C889EA5" w14:textId="77777777" w:rsidR="00E05E28" w:rsidRDefault="00E05E28">
            <w:pPr>
              <w:jc w:val="center"/>
              <w:rPr>
                <w:b/>
                <w:bCs/>
                <w:color w:val="000000"/>
              </w:rPr>
            </w:pPr>
            <w:r>
              <w:rPr>
                <w:b/>
                <w:bCs/>
                <w:color w:val="000000"/>
              </w:rPr>
              <w:t>C</w:t>
            </w:r>
          </w:p>
        </w:tc>
        <w:tc>
          <w:tcPr>
            <w:tcW w:w="865" w:type="pct"/>
            <w:tcBorders>
              <w:top w:val="single" w:sz="4" w:space="0" w:color="auto"/>
              <w:left w:val="single" w:sz="12" w:space="0" w:color="auto"/>
              <w:bottom w:val="single" w:sz="4" w:space="0" w:color="auto"/>
              <w:right w:val="single" w:sz="8" w:space="0" w:color="auto"/>
            </w:tcBorders>
            <w:shd w:val="clear" w:color="000000" w:fill="99FF66"/>
            <w:vAlign w:val="center"/>
            <w:hideMark/>
          </w:tcPr>
          <w:p w14:paraId="703ADDAE" w14:textId="77777777" w:rsidR="00E05E28" w:rsidRDefault="00E05E28">
            <w:pPr>
              <w:jc w:val="center"/>
              <w:rPr>
                <w:b/>
                <w:bCs/>
                <w:color w:val="000000"/>
              </w:rPr>
            </w:pPr>
            <w:r>
              <w:rPr>
                <w:b/>
                <w:bCs/>
                <w:color w:val="000000"/>
              </w:rPr>
              <w:t>R</w:t>
            </w:r>
          </w:p>
        </w:tc>
      </w:tr>
      <w:tr w:rsidR="00E05E28" w14:paraId="1F6ABD54" w14:textId="77777777" w:rsidTr="00E05E28">
        <w:trPr>
          <w:trHeight w:val="330"/>
        </w:trPr>
        <w:tc>
          <w:tcPr>
            <w:tcW w:w="1112" w:type="pct"/>
            <w:tcBorders>
              <w:top w:val="nil"/>
              <w:left w:val="single" w:sz="8" w:space="0" w:color="auto"/>
              <w:bottom w:val="single" w:sz="8" w:space="0" w:color="auto"/>
              <w:right w:val="double" w:sz="6" w:space="0" w:color="auto"/>
            </w:tcBorders>
            <w:vAlign w:val="center"/>
            <w:hideMark/>
          </w:tcPr>
          <w:p w14:paraId="399E35FB" w14:textId="77777777" w:rsidR="00E05E28" w:rsidRDefault="00E05E28">
            <w:pPr>
              <w:rPr>
                <w:b/>
                <w:bCs/>
                <w:color w:val="000000"/>
              </w:rPr>
            </w:pPr>
            <w:r>
              <w:rPr>
                <w:b/>
                <w:bCs/>
                <w:color w:val="000000"/>
              </w:rPr>
              <w:t>PMO/Program Management</w:t>
            </w:r>
          </w:p>
        </w:tc>
        <w:tc>
          <w:tcPr>
            <w:tcW w:w="806" w:type="pct"/>
            <w:tcBorders>
              <w:top w:val="nil"/>
              <w:left w:val="nil"/>
              <w:bottom w:val="single" w:sz="8" w:space="0" w:color="auto"/>
              <w:right w:val="single" w:sz="4" w:space="0" w:color="auto"/>
            </w:tcBorders>
            <w:vAlign w:val="center"/>
            <w:hideMark/>
          </w:tcPr>
          <w:p w14:paraId="0589C058" w14:textId="77777777" w:rsidR="00E05E28" w:rsidRDefault="00E05E28">
            <w:pPr>
              <w:jc w:val="center"/>
              <w:rPr>
                <w:b/>
                <w:bCs/>
                <w:color w:val="000000"/>
              </w:rPr>
            </w:pPr>
            <w:r>
              <w:rPr>
                <w:b/>
                <w:bCs/>
                <w:color w:val="000000"/>
              </w:rPr>
              <w:t>I</w:t>
            </w:r>
          </w:p>
        </w:tc>
        <w:tc>
          <w:tcPr>
            <w:tcW w:w="804" w:type="pct"/>
            <w:tcBorders>
              <w:top w:val="single" w:sz="4" w:space="0" w:color="auto"/>
              <w:left w:val="nil"/>
              <w:bottom w:val="single" w:sz="8" w:space="0" w:color="auto"/>
              <w:right w:val="single" w:sz="12" w:space="0" w:color="auto"/>
            </w:tcBorders>
            <w:vAlign w:val="center"/>
            <w:hideMark/>
          </w:tcPr>
          <w:p w14:paraId="10A4A180" w14:textId="77777777" w:rsidR="00E05E28" w:rsidRDefault="00E05E28">
            <w:pPr>
              <w:jc w:val="center"/>
              <w:rPr>
                <w:b/>
                <w:bCs/>
                <w:color w:val="000000"/>
              </w:rPr>
            </w:pPr>
            <w:r>
              <w:rPr>
                <w:b/>
                <w:bCs/>
                <w:color w:val="000000"/>
              </w:rPr>
              <w:t>C</w:t>
            </w:r>
          </w:p>
        </w:tc>
        <w:tc>
          <w:tcPr>
            <w:tcW w:w="724" w:type="pct"/>
            <w:tcBorders>
              <w:top w:val="nil"/>
              <w:left w:val="single" w:sz="12" w:space="0" w:color="auto"/>
              <w:bottom w:val="single" w:sz="8" w:space="0" w:color="auto"/>
              <w:right w:val="single" w:sz="4" w:space="0" w:color="auto"/>
            </w:tcBorders>
            <w:vAlign w:val="center"/>
            <w:hideMark/>
          </w:tcPr>
          <w:p w14:paraId="16D46174" w14:textId="77777777" w:rsidR="00E05E28" w:rsidRDefault="00E05E28">
            <w:pPr>
              <w:jc w:val="center"/>
              <w:rPr>
                <w:b/>
                <w:bCs/>
                <w:color w:val="000000"/>
              </w:rPr>
            </w:pPr>
            <w:r>
              <w:rPr>
                <w:b/>
                <w:bCs/>
                <w:color w:val="000000"/>
              </w:rPr>
              <w:t>C</w:t>
            </w:r>
          </w:p>
        </w:tc>
        <w:tc>
          <w:tcPr>
            <w:tcW w:w="689" w:type="pct"/>
            <w:tcBorders>
              <w:top w:val="single" w:sz="4" w:space="0" w:color="auto"/>
              <w:left w:val="nil"/>
              <w:bottom w:val="single" w:sz="8" w:space="0" w:color="auto"/>
              <w:right w:val="single" w:sz="12" w:space="0" w:color="auto"/>
            </w:tcBorders>
            <w:vAlign w:val="center"/>
            <w:hideMark/>
          </w:tcPr>
          <w:p w14:paraId="6CAB4A39" w14:textId="77777777" w:rsidR="00E05E28" w:rsidRDefault="00E05E28">
            <w:pPr>
              <w:jc w:val="center"/>
              <w:rPr>
                <w:b/>
                <w:bCs/>
                <w:color w:val="000000"/>
              </w:rPr>
            </w:pPr>
            <w:r>
              <w:rPr>
                <w:b/>
                <w:bCs/>
                <w:color w:val="000000"/>
              </w:rPr>
              <w:t>C</w:t>
            </w:r>
          </w:p>
        </w:tc>
        <w:tc>
          <w:tcPr>
            <w:tcW w:w="865" w:type="pct"/>
            <w:tcBorders>
              <w:top w:val="nil"/>
              <w:left w:val="single" w:sz="12" w:space="0" w:color="auto"/>
              <w:bottom w:val="single" w:sz="8" w:space="0" w:color="auto"/>
              <w:right w:val="single" w:sz="8" w:space="0" w:color="auto"/>
            </w:tcBorders>
            <w:vAlign w:val="center"/>
            <w:hideMark/>
          </w:tcPr>
          <w:p w14:paraId="024B578F" w14:textId="77777777" w:rsidR="00E05E28" w:rsidRDefault="00E05E28">
            <w:pPr>
              <w:jc w:val="center"/>
              <w:rPr>
                <w:b/>
                <w:bCs/>
                <w:color w:val="000000"/>
              </w:rPr>
            </w:pPr>
            <w:r>
              <w:rPr>
                <w:b/>
                <w:bCs/>
                <w:color w:val="000000"/>
              </w:rPr>
              <w:t>A</w:t>
            </w:r>
          </w:p>
        </w:tc>
      </w:tr>
    </w:tbl>
    <w:p w14:paraId="756E38E8" w14:textId="77777777" w:rsidR="00E05E28" w:rsidRDefault="00E05E28" w:rsidP="008446AB">
      <w:pPr>
        <w:spacing w:before="100" w:beforeAutospacing="1" w:after="100" w:afterAutospacing="1" w:line="240" w:lineRule="auto"/>
        <w:outlineLvl w:val="3"/>
        <w:rPr>
          <w:rFonts w:ascii="Times New Roman" w:eastAsia="Times New Roman" w:hAnsi="Times New Roman" w:cs="Times New Roman"/>
          <w:b/>
          <w:bCs/>
          <w:kern w:val="0"/>
          <w14:ligatures w14:val="none"/>
        </w:rPr>
        <w:sectPr w:rsidR="00E05E28" w:rsidSect="00E05E28">
          <w:pgSz w:w="15840" w:h="12240" w:orient="landscape"/>
          <w:pgMar w:top="720" w:right="1440" w:bottom="720" w:left="1440" w:header="720" w:footer="720" w:gutter="0"/>
          <w:cols w:space="720"/>
          <w:docGrid w:linePitch="360"/>
        </w:sectPr>
      </w:pPr>
    </w:p>
    <w:p w14:paraId="5B472788" w14:textId="618D88DD" w:rsidR="008446AB" w:rsidRPr="008446AB" w:rsidRDefault="008446AB" w:rsidP="00AE5468">
      <w:pPr>
        <w:pStyle w:val="Heading2"/>
        <w:rPr>
          <w:rFonts w:eastAsia="Times New Roman"/>
        </w:rPr>
      </w:pPr>
      <w:r w:rsidRPr="008446AB">
        <w:rPr>
          <w:rFonts w:eastAsia="Times New Roman"/>
        </w:rPr>
        <w:t>2.2. Service &amp; Personnel Availability</w:t>
      </w:r>
    </w:p>
    <w:p w14:paraId="53C4706F" w14:textId="77777777" w:rsidR="008446AB" w:rsidRPr="008446AB" w:rsidRDefault="008446AB" w:rsidP="00AE5468">
      <w:pPr>
        <w:pStyle w:val="Heading3"/>
        <w:rPr>
          <w:rFonts w:eastAsia="Times New Roman"/>
        </w:rPr>
      </w:pPr>
      <w:r w:rsidRPr="008446AB">
        <w:rPr>
          <w:rFonts w:eastAsia="Times New Roman"/>
        </w:rPr>
        <w:t>2.2.1. Service Level Commitments (SLC)</w:t>
      </w:r>
    </w:p>
    <w:p w14:paraId="321A3EF9"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The CVS Caremark team shall commit to the following service levels for all Production environments.</w:t>
      </w:r>
    </w:p>
    <w:p w14:paraId="33EE9878" w14:textId="77777777" w:rsidR="008446AB" w:rsidRPr="008446AB" w:rsidRDefault="008446AB" w:rsidP="008446A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API Availability &amp; Uptime:</w:t>
      </w:r>
    </w:p>
    <w:p w14:paraId="635C0E68" w14:textId="77777777" w:rsidR="008446AB" w:rsidRPr="008446AB" w:rsidRDefault="008446AB" w:rsidP="008446A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Target:</w:t>
      </w:r>
      <w:r w:rsidRPr="008446AB">
        <w:rPr>
          <w:rFonts w:ascii="Times New Roman" w:eastAsia="Times New Roman" w:hAnsi="Times New Roman" w:cs="Times New Roman"/>
          <w:kern w:val="0"/>
          <w14:ligatures w14:val="none"/>
        </w:rPr>
        <w:t xml:space="preserve"> 99.9% monthly uptime for all service endpoints.</w:t>
      </w:r>
    </w:p>
    <w:p w14:paraId="5DA18B50" w14:textId="77777777" w:rsidR="008446AB" w:rsidRPr="008446AB" w:rsidRDefault="008446AB" w:rsidP="008446A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Exclusions:</w:t>
      </w:r>
      <w:r w:rsidRPr="008446AB">
        <w:rPr>
          <w:rFonts w:ascii="Times New Roman" w:eastAsia="Times New Roman" w:hAnsi="Times New Roman" w:cs="Times New Roman"/>
          <w:kern w:val="0"/>
          <w14:ligatures w14:val="none"/>
        </w:rPr>
        <w:t xml:space="preserve"> Scheduled Maintenance, outages caused by the Aetna consumer systems, or failures of third parties beyond the Provider's reasonable control.</w:t>
      </w:r>
    </w:p>
    <w:p w14:paraId="196A6C9C" w14:textId="77777777" w:rsidR="008446AB" w:rsidRPr="008446AB" w:rsidRDefault="008446AB" w:rsidP="008446A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API Performance &amp; Latency:</w:t>
      </w:r>
    </w:p>
    <w:p w14:paraId="22D54968" w14:textId="77777777" w:rsidR="008446AB" w:rsidRPr="008446AB" w:rsidRDefault="008446AB" w:rsidP="008446A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Target:</w:t>
      </w:r>
      <w:r w:rsidRPr="008446AB">
        <w:rPr>
          <w:rFonts w:ascii="Times New Roman" w:eastAsia="Times New Roman" w:hAnsi="Times New Roman" w:cs="Times New Roman"/>
          <w:kern w:val="0"/>
          <w14:ligatures w14:val="none"/>
        </w:rPr>
        <w:t xml:space="preserve"> 95% of all internal API processing times will be completed in under 500ms. Latency is measured at the CVS Caremark network edge.</w:t>
      </w:r>
    </w:p>
    <w:p w14:paraId="6B6DDF1D" w14:textId="77777777" w:rsidR="008446AB" w:rsidRPr="008446AB" w:rsidRDefault="008446AB" w:rsidP="008446A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Support Response Times:</w:t>
      </w:r>
    </w:p>
    <w:tbl>
      <w:tblPr>
        <w:tblW w:w="5000" w:type="pct"/>
        <w:tblLook w:val="04A0" w:firstRow="1" w:lastRow="0" w:firstColumn="1" w:lastColumn="0" w:noHBand="0" w:noVBand="1"/>
      </w:tblPr>
      <w:tblGrid>
        <w:gridCol w:w="1715"/>
        <w:gridCol w:w="2916"/>
        <w:gridCol w:w="1586"/>
        <w:gridCol w:w="3123"/>
      </w:tblGrid>
      <w:tr w:rsidR="00AE5468" w:rsidRPr="00AE5468" w14:paraId="6B2038A6" w14:textId="77777777" w:rsidTr="00AE5468">
        <w:trPr>
          <w:trHeight w:val="630"/>
        </w:trPr>
        <w:tc>
          <w:tcPr>
            <w:tcW w:w="918" w:type="pct"/>
            <w:tcBorders>
              <w:top w:val="single" w:sz="8" w:space="0" w:color="auto"/>
              <w:left w:val="single" w:sz="8" w:space="0" w:color="auto"/>
              <w:bottom w:val="single" w:sz="4" w:space="0" w:color="auto"/>
              <w:right w:val="double" w:sz="6" w:space="0" w:color="auto"/>
            </w:tcBorders>
            <w:shd w:val="clear" w:color="000000" w:fill="000000"/>
            <w:vAlign w:val="center"/>
            <w:hideMark/>
          </w:tcPr>
          <w:p w14:paraId="43D2D307" w14:textId="77777777" w:rsidR="00AE5468" w:rsidRPr="00AE5468" w:rsidRDefault="00AE5468" w:rsidP="00AE5468">
            <w:pPr>
              <w:spacing w:after="0" w:line="240" w:lineRule="auto"/>
              <w:rPr>
                <w:rFonts w:ascii="Times New Roman" w:eastAsia="Times New Roman" w:hAnsi="Times New Roman" w:cs="Times New Roman"/>
                <w:b/>
                <w:bCs/>
                <w:color w:val="FFFFFF"/>
                <w:kern w:val="0"/>
                <w14:ligatures w14:val="none"/>
              </w:rPr>
            </w:pPr>
            <w:r w:rsidRPr="00AE5468">
              <w:rPr>
                <w:rFonts w:ascii="Times New Roman" w:eastAsia="Times New Roman" w:hAnsi="Times New Roman" w:cs="Times New Roman"/>
                <w:b/>
                <w:bCs/>
                <w:color w:val="FFFFFF"/>
                <w:kern w:val="0"/>
                <w14:ligatures w14:val="none"/>
              </w:rPr>
              <w:t>Severity</w:t>
            </w:r>
          </w:p>
        </w:tc>
        <w:tc>
          <w:tcPr>
            <w:tcW w:w="1561" w:type="pct"/>
            <w:tcBorders>
              <w:top w:val="single" w:sz="8" w:space="0" w:color="auto"/>
              <w:left w:val="nil"/>
              <w:bottom w:val="single" w:sz="4" w:space="0" w:color="auto"/>
              <w:right w:val="single" w:sz="4" w:space="0" w:color="auto"/>
            </w:tcBorders>
            <w:shd w:val="clear" w:color="000000" w:fill="000000"/>
            <w:vAlign w:val="center"/>
            <w:hideMark/>
          </w:tcPr>
          <w:p w14:paraId="09F69122" w14:textId="77777777" w:rsidR="00AE5468" w:rsidRPr="00AE5468" w:rsidRDefault="00AE5468" w:rsidP="00AE5468">
            <w:pPr>
              <w:spacing w:after="0" w:line="240" w:lineRule="auto"/>
              <w:rPr>
                <w:rFonts w:ascii="Times New Roman" w:eastAsia="Times New Roman" w:hAnsi="Times New Roman" w:cs="Times New Roman"/>
                <w:b/>
                <w:bCs/>
                <w:color w:val="FFFFFF"/>
                <w:kern w:val="0"/>
                <w14:ligatures w14:val="none"/>
              </w:rPr>
            </w:pPr>
            <w:r w:rsidRPr="00AE5468">
              <w:rPr>
                <w:rFonts w:ascii="Times New Roman" w:eastAsia="Times New Roman" w:hAnsi="Times New Roman" w:cs="Times New Roman"/>
                <w:b/>
                <w:bCs/>
                <w:color w:val="FFFFFF"/>
                <w:kern w:val="0"/>
                <w14:ligatures w14:val="none"/>
              </w:rPr>
              <w:t>Description (Examples)</w:t>
            </w:r>
          </w:p>
        </w:tc>
        <w:tc>
          <w:tcPr>
            <w:tcW w:w="849" w:type="pct"/>
            <w:tcBorders>
              <w:top w:val="single" w:sz="8" w:space="0" w:color="auto"/>
              <w:left w:val="nil"/>
              <w:bottom w:val="single" w:sz="4" w:space="0" w:color="auto"/>
              <w:right w:val="single" w:sz="4" w:space="0" w:color="auto"/>
            </w:tcBorders>
            <w:shd w:val="clear" w:color="000000" w:fill="000000"/>
            <w:vAlign w:val="center"/>
            <w:hideMark/>
          </w:tcPr>
          <w:p w14:paraId="532A73CE" w14:textId="77777777" w:rsidR="00AE5468" w:rsidRPr="00AE5468" w:rsidRDefault="00AE5468" w:rsidP="00AE5468">
            <w:pPr>
              <w:spacing w:after="0" w:line="240" w:lineRule="auto"/>
              <w:jc w:val="center"/>
              <w:rPr>
                <w:rFonts w:ascii="Times New Roman" w:eastAsia="Times New Roman" w:hAnsi="Times New Roman" w:cs="Times New Roman"/>
                <w:b/>
                <w:bCs/>
                <w:color w:val="FFFFFF"/>
                <w:kern w:val="0"/>
                <w14:ligatures w14:val="none"/>
              </w:rPr>
            </w:pPr>
            <w:r w:rsidRPr="00AE5468">
              <w:rPr>
                <w:rFonts w:ascii="Times New Roman" w:eastAsia="Times New Roman" w:hAnsi="Times New Roman" w:cs="Times New Roman"/>
                <w:b/>
                <w:bCs/>
                <w:color w:val="FFFFFF"/>
                <w:kern w:val="0"/>
                <w14:ligatures w14:val="none"/>
              </w:rPr>
              <w:t>Target Response Time</w:t>
            </w:r>
          </w:p>
        </w:tc>
        <w:tc>
          <w:tcPr>
            <w:tcW w:w="1672" w:type="pct"/>
            <w:tcBorders>
              <w:top w:val="single" w:sz="8" w:space="0" w:color="auto"/>
              <w:left w:val="nil"/>
              <w:bottom w:val="single" w:sz="4" w:space="0" w:color="auto"/>
              <w:right w:val="single" w:sz="8" w:space="0" w:color="auto"/>
            </w:tcBorders>
            <w:shd w:val="clear" w:color="000000" w:fill="000000"/>
            <w:vAlign w:val="center"/>
            <w:hideMark/>
          </w:tcPr>
          <w:p w14:paraId="1EA9975B" w14:textId="77777777" w:rsidR="00AE5468" w:rsidRPr="00AE5468" w:rsidRDefault="00AE5468" w:rsidP="00AE5468">
            <w:pPr>
              <w:spacing w:after="0" w:line="240" w:lineRule="auto"/>
              <w:rPr>
                <w:rFonts w:ascii="Times New Roman" w:eastAsia="Times New Roman" w:hAnsi="Times New Roman" w:cs="Times New Roman"/>
                <w:b/>
                <w:bCs/>
                <w:color w:val="FFFFFF"/>
                <w:kern w:val="0"/>
                <w14:ligatures w14:val="none"/>
              </w:rPr>
            </w:pPr>
            <w:r w:rsidRPr="00AE5468">
              <w:rPr>
                <w:rFonts w:ascii="Times New Roman" w:eastAsia="Times New Roman" w:hAnsi="Times New Roman" w:cs="Times New Roman"/>
                <w:b/>
                <w:bCs/>
                <w:color w:val="FFFFFF"/>
                <w:kern w:val="0"/>
                <w14:ligatures w14:val="none"/>
              </w:rPr>
              <w:t>Channels</w:t>
            </w:r>
          </w:p>
        </w:tc>
      </w:tr>
      <w:tr w:rsidR="00AE5468" w:rsidRPr="00AE5468" w14:paraId="03E79128" w14:textId="77777777" w:rsidTr="00AE5468">
        <w:trPr>
          <w:trHeight w:val="945"/>
        </w:trPr>
        <w:tc>
          <w:tcPr>
            <w:tcW w:w="918" w:type="pct"/>
            <w:tcBorders>
              <w:top w:val="nil"/>
              <w:left w:val="single" w:sz="8" w:space="0" w:color="auto"/>
              <w:bottom w:val="single" w:sz="4" w:space="0" w:color="auto"/>
              <w:right w:val="double" w:sz="6" w:space="0" w:color="auto"/>
            </w:tcBorders>
            <w:vAlign w:val="center"/>
            <w:hideMark/>
          </w:tcPr>
          <w:p w14:paraId="4E2A3A28" w14:textId="77777777" w:rsidR="00AE5468" w:rsidRPr="00AE5468" w:rsidRDefault="00AE5468" w:rsidP="00AE5468">
            <w:pPr>
              <w:spacing w:after="0" w:line="240" w:lineRule="auto"/>
              <w:rPr>
                <w:rFonts w:ascii="Times New Roman" w:eastAsia="Times New Roman" w:hAnsi="Times New Roman" w:cs="Times New Roman"/>
                <w:b/>
                <w:bCs/>
                <w:color w:val="000000"/>
                <w:kern w:val="0"/>
                <w14:ligatures w14:val="none"/>
              </w:rPr>
            </w:pPr>
            <w:r w:rsidRPr="00AE5468">
              <w:rPr>
                <w:rFonts w:ascii="Times New Roman" w:eastAsia="Times New Roman" w:hAnsi="Times New Roman" w:cs="Times New Roman"/>
                <w:b/>
                <w:bCs/>
                <w:color w:val="000000"/>
                <w:kern w:val="0"/>
                <w14:ligatures w14:val="none"/>
              </w:rPr>
              <w:t>Severity 1: Critical</w:t>
            </w:r>
          </w:p>
        </w:tc>
        <w:tc>
          <w:tcPr>
            <w:tcW w:w="1561" w:type="pct"/>
            <w:tcBorders>
              <w:top w:val="nil"/>
              <w:left w:val="nil"/>
              <w:bottom w:val="single" w:sz="4" w:space="0" w:color="auto"/>
              <w:right w:val="single" w:sz="4" w:space="0" w:color="auto"/>
            </w:tcBorders>
            <w:vAlign w:val="center"/>
            <w:hideMark/>
          </w:tcPr>
          <w:p w14:paraId="4505E221" w14:textId="77777777" w:rsidR="00AE5468" w:rsidRPr="00AE5468" w:rsidRDefault="00AE5468" w:rsidP="00AE5468">
            <w:pPr>
              <w:spacing w:after="0" w:line="240" w:lineRule="auto"/>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Complete outage of the eligibility check API, preventing real-time prescription processing.</w:t>
            </w:r>
          </w:p>
        </w:tc>
        <w:tc>
          <w:tcPr>
            <w:tcW w:w="849" w:type="pct"/>
            <w:tcBorders>
              <w:top w:val="nil"/>
              <w:left w:val="nil"/>
              <w:bottom w:val="single" w:sz="4" w:space="0" w:color="auto"/>
              <w:right w:val="single" w:sz="4" w:space="0" w:color="auto"/>
            </w:tcBorders>
            <w:vAlign w:val="center"/>
            <w:hideMark/>
          </w:tcPr>
          <w:p w14:paraId="0DC0DE6A" w14:textId="77777777" w:rsidR="00AE5468" w:rsidRPr="00AE5468" w:rsidRDefault="00AE5468" w:rsidP="00AE5468">
            <w:pPr>
              <w:spacing w:after="0" w:line="240" w:lineRule="auto"/>
              <w:jc w:val="center"/>
              <w:rPr>
                <w:rFonts w:ascii="Times New Roman" w:eastAsia="Times New Roman" w:hAnsi="Times New Roman" w:cs="Times New Roman"/>
                <w:b/>
                <w:bCs/>
                <w:color w:val="000000"/>
                <w:kern w:val="0"/>
                <w14:ligatures w14:val="none"/>
              </w:rPr>
            </w:pPr>
            <w:r w:rsidRPr="00AE5468">
              <w:rPr>
                <w:rFonts w:ascii="Times New Roman" w:eastAsia="Times New Roman" w:hAnsi="Times New Roman" w:cs="Times New Roman"/>
                <w:b/>
                <w:bCs/>
                <w:color w:val="000000"/>
                <w:kern w:val="0"/>
                <w14:ligatures w14:val="none"/>
              </w:rPr>
              <w:t>1 Hour (24/7/365)</w:t>
            </w:r>
          </w:p>
        </w:tc>
        <w:tc>
          <w:tcPr>
            <w:tcW w:w="1672" w:type="pct"/>
            <w:tcBorders>
              <w:top w:val="nil"/>
              <w:left w:val="nil"/>
              <w:bottom w:val="single" w:sz="4" w:space="0" w:color="auto"/>
              <w:right w:val="single" w:sz="8" w:space="0" w:color="auto"/>
            </w:tcBorders>
            <w:vAlign w:val="center"/>
            <w:hideMark/>
          </w:tcPr>
          <w:p w14:paraId="53C6669D" w14:textId="77777777" w:rsidR="00AE5468" w:rsidRDefault="00AE5468" w:rsidP="00AE5468">
            <w:pPr>
              <w:pStyle w:val="ListParagraph"/>
              <w:numPr>
                <w:ilvl w:val="0"/>
                <w:numId w:val="23"/>
              </w:numPr>
              <w:spacing w:after="0" w:line="240" w:lineRule="auto"/>
              <w:ind w:left="421"/>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 xml:space="preserve">Phone call to On-Call </w:t>
            </w:r>
          </w:p>
          <w:p w14:paraId="37D617C1" w14:textId="5FCE74CE" w:rsidR="00AE5468" w:rsidRDefault="00AE5468" w:rsidP="00AE5468">
            <w:pPr>
              <w:pStyle w:val="ListParagraph"/>
              <w:numPr>
                <w:ilvl w:val="0"/>
                <w:numId w:val="23"/>
              </w:numPr>
              <w:spacing w:after="0" w:line="240" w:lineRule="auto"/>
              <w:ind w:left="421"/>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Contact</w:t>
            </w:r>
          </w:p>
          <w:p w14:paraId="3B21347E" w14:textId="7D5B6F9F" w:rsidR="00AE5468" w:rsidRPr="00AE5468" w:rsidRDefault="00AE5468" w:rsidP="00AE5468">
            <w:pPr>
              <w:pStyle w:val="ListParagraph"/>
              <w:numPr>
                <w:ilvl w:val="0"/>
                <w:numId w:val="23"/>
              </w:numPr>
              <w:spacing w:after="0" w:line="240" w:lineRule="auto"/>
              <w:ind w:left="421"/>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Email</w:t>
            </w:r>
          </w:p>
        </w:tc>
      </w:tr>
      <w:tr w:rsidR="00AE5468" w:rsidRPr="00AE5468" w14:paraId="58A27447" w14:textId="77777777" w:rsidTr="00AE5468">
        <w:trPr>
          <w:trHeight w:val="945"/>
        </w:trPr>
        <w:tc>
          <w:tcPr>
            <w:tcW w:w="918" w:type="pct"/>
            <w:tcBorders>
              <w:top w:val="nil"/>
              <w:left w:val="single" w:sz="8" w:space="0" w:color="auto"/>
              <w:bottom w:val="single" w:sz="4" w:space="0" w:color="auto"/>
              <w:right w:val="double" w:sz="6" w:space="0" w:color="auto"/>
            </w:tcBorders>
            <w:vAlign w:val="center"/>
            <w:hideMark/>
          </w:tcPr>
          <w:p w14:paraId="65B854AA" w14:textId="77777777" w:rsidR="00AE5468" w:rsidRPr="00AE5468" w:rsidRDefault="00AE5468" w:rsidP="00AE5468">
            <w:pPr>
              <w:spacing w:after="0" w:line="240" w:lineRule="auto"/>
              <w:rPr>
                <w:rFonts w:ascii="Times New Roman" w:eastAsia="Times New Roman" w:hAnsi="Times New Roman" w:cs="Times New Roman"/>
                <w:b/>
                <w:bCs/>
                <w:color w:val="000000"/>
                <w:kern w:val="0"/>
                <w14:ligatures w14:val="none"/>
              </w:rPr>
            </w:pPr>
            <w:r w:rsidRPr="00AE5468">
              <w:rPr>
                <w:rFonts w:ascii="Times New Roman" w:eastAsia="Times New Roman" w:hAnsi="Times New Roman" w:cs="Times New Roman"/>
                <w:b/>
                <w:bCs/>
                <w:color w:val="000000"/>
                <w:kern w:val="0"/>
                <w14:ligatures w14:val="none"/>
              </w:rPr>
              <w:t>Severity 2: High</w:t>
            </w:r>
          </w:p>
        </w:tc>
        <w:tc>
          <w:tcPr>
            <w:tcW w:w="1561" w:type="pct"/>
            <w:tcBorders>
              <w:top w:val="nil"/>
              <w:left w:val="nil"/>
              <w:bottom w:val="single" w:sz="4" w:space="0" w:color="auto"/>
              <w:right w:val="single" w:sz="4" w:space="0" w:color="auto"/>
            </w:tcBorders>
            <w:vAlign w:val="center"/>
            <w:hideMark/>
          </w:tcPr>
          <w:p w14:paraId="6B94F33E" w14:textId="77777777" w:rsidR="00AE5468" w:rsidRPr="00AE5468" w:rsidRDefault="00AE5468" w:rsidP="00AE5468">
            <w:pPr>
              <w:spacing w:after="0" w:line="240" w:lineRule="auto"/>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The mail-order pharmacy refill API is functional but responding with &gt;5 second latency.</w:t>
            </w:r>
          </w:p>
        </w:tc>
        <w:tc>
          <w:tcPr>
            <w:tcW w:w="849" w:type="pct"/>
            <w:tcBorders>
              <w:top w:val="nil"/>
              <w:left w:val="nil"/>
              <w:bottom w:val="single" w:sz="4" w:space="0" w:color="auto"/>
              <w:right w:val="single" w:sz="4" w:space="0" w:color="auto"/>
            </w:tcBorders>
            <w:vAlign w:val="center"/>
            <w:hideMark/>
          </w:tcPr>
          <w:p w14:paraId="4C448A88" w14:textId="77777777" w:rsidR="00AE5468" w:rsidRPr="00AE5468" w:rsidRDefault="00AE5468" w:rsidP="00AE5468">
            <w:pPr>
              <w:spacing w:after="0" w:line="240" w:lineRule="auto"/>
              <w:jc w:val="center"/>
              <w:rPr>
                <w:rFonts w:ascii="Times New Roman" w:eastAsia="Times New Roman" w:hAnsi="Times New Roman" w:cs="Times New Roman"/>
                <w:b/>
                <w:bCs/>
                <w:color w:val="000000"/>
                <w:kern w:val="0"/>
                <w14:ligatures w14:val="none"/>
              </w:rPr>
            </w:pPr>
            <w:r w:rsidRPr="00AE5468">
              <w:rPr>
                <w:rFonts w:ascii="Times New Roman" w:eastAsia="Times New Roman" w:hAnsi="Times New Roman" w:cs="Times New Roman"/>
                <w:b/>
                <w:bCs/>
                <w:color w:val="000000"/>
                <w:kern w:val="0"/>
                <w14:ligatures w14:val="none"/>
              </w:rPr>
              <w:t>4 Business Hours</w:t>
            </w:r>
          </w:p>
        </w:tc>
        <w:tc>
          <w:tcPr>
            <w:tcW w:w="1672" w:type="pct"/>
            <w:tcBorders>
              <w:top w:val="nil"/>
              <w:left w:val="nil"/>
              <w:bottom w:val="single" w:sz="4" w:space="0" w:color="auto"/>
              <w:right w:val="single" w:sz="8" w:space="0" w:color="auto"/>
            </w:tcBorders>
            <w:vAlign w:val="center"/>
            <w:hideMark/>
          </w:tcPr>
          <w:p w14:paraId="71EF1EA4" w14:textId="77777777" w:rsidR="00AE5468" w:rsidRDefault="00AE5468" w:rsidP="00AE5468">
            <w:pPr>
              <w:pStyle w:val="ListParagraph"/>
              <w:numPr>
                <w:ilvl w:val="0"/>
                <w:numId w:val="23"/>
              </w:numPr>
              <w:spacing w:after="0" w:line="240" w:lineRule="auto"/>
              <w:ind w:left="421"/>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Support Portal</w:t>
            </w:r>
          </w:p>
          <w:p w14:paraId="7C836ABB" w14:textId="286626E6" w:rsidR="00AE5468" w:rsidRPr="00AE5468" w:rsidRDefault="00AE5468" w:rsidP="00AE5468">
            <w:pPr>
              <w:pStyle w:val="ListParagraph"/>
              <w:numPr>
                <w:ilvl w:val="0"/>
                <w:numId w:val="23"/>
              </w:numPr>
              <w:spacing w:after="0" w:line="240" w:lineRule="auto"/>
              <w:ind w:left="421"/>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Email</w:t>
            </w:r>
          </w:p>
        </w:tc>
      </w:tr>
      <w:tr w:rsidR="00AE5468" w:rsidRPr="00AE5468" w14:paraId="2A8AF1B9" w14:textId="77777777" w:rsidTr="00AE5468">
        <w:trPr>
          <w:trHeight w:val="945"/>
        </w:trPr>
        <w:tc>
          <w:tcPr>
            <w:tcW w:w="918" w:type="pct"/>
            <w:tcBorders>
              <w:top w:val="nil"/>
              <w:left w:val="single" w:sz="8" w:space="0" w:color="auto"/>
              <w:bottom w:val="single" w:sz="4" w:space="0" w:color="auto"/>
              <w:right w:val="double" w:sz="6" w:space="0" w:color="auto"/>
            </w:tcBorders>
            <w:vAlign w:val="center"/>
            <w:hideMark/>
          </w:tcPr>
          <w:p w14:paraId="6B53BACE" w14:textId="77777777" w:rsidR="00AE5468" w:rsidRPr="00AE5468" w:rsidRDefault="00AE5468" w:rsidP="00AE5468">
            <w:pPr>
              <w:spacing w:after="0" w:line="240" w:lineRule="auto"/>
              <w:rPr>
                <w:rFonts w:ascii="Times New Roman" w:eastAsia="Times New Roman" w:hAnsi="Times New Roman" w:cs="Times New Roman"/>
                <w:b/>
                <w:bCs/>
                <w:color w:val="000000"/>
                <w:kern w:val="0"/>
                <w14:ligatures w14:val="none"/>
              </w:rPr>
            </w:pPr>
            <w:r w:rsidRPr="00AE5468">
              <w:rPr>
                <w:rFonts w:ascii="Times New Roman" w:eastAsia="Times New Roman" w:hAnsi="Times New Roman" w:cs="Times New Roman"/>
                <w:b/>
                <w:bCs/>
                <w:color w:val="000000"/>
                <w:kern w:val="0"/>
                <w14:ligatures w14:val="none"/>
              </w:rPr>
              <w:t>Severity 3: Medium</w:t>
            </w:r>
          </w:p>
        </w:tc>
        <w:tc>
          <w:tcPr>
            <w:tcW w:w="1561" w:type="pct"/>
            <w:tcBorders>
              <w:top w:val="nil"/>
              <w:left w:val="nil"/>
              <w:bottom w:val="single" w:sz="4" w:space="0" w:color="auto"/>
              <w:right w:val="single" w:sz="4" w:space="0" w:color="auto"/>
            </w:tcBorders>
            <w:vAlign w:val="center"/>
            <w:hideMark/>
          </w:tcPr>
          <w:p w14:paraId="06326A13" w14:textId="77777777" w:rsidR="00AE5468" w:rsidRPr="00AE5468" w:rsidRDefault="00AE5468" w:rsidP="00AE5468">
            <w:pPr>
              <w:spacing w:after="0" w:line="240" w:lineRule="auto"/>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The pharmacy locator API fails to return a small subset of newly added retail pharmacies.</w:t>
            </w:r>
          </w:p>
        </w:tc>
        <w:tc>
          <w:tcPr>
            <w:tcW w:w="849" w:type="pct"/>
            <w:tcBorders>
              <w:top w:val="nil"/>
              <w:left w:val="nil"/>
              <w:bottom w:val="single" w:sz="4" w:space="0" w:color="auto"/>
              <w:right w:val="single" w:sz="4" w:space="0" w:color="auto"/>
            </w:tcBorders>
            <w:vAlign w:val="center"/>
            <w:hideMark/>
          </w:tcPr>
          <w:p w14:paraId="571C0A7B" w14:textId="77777777" w:rsidR="00AE5468" w:rsidRPr="00AE5468" w:rsidRDefault="00AE5468" w:rsidP="00AE5468">
            <w:pPr>
              <w:spacing w:after="0" w:line="240" w:lineRule="auto"/>
              <w:jc w:val="center"/>
              <w:rPr>
                <w:rFonts w:ascii="Times New Roman" w:eastAsia="Times New Roman" w:hAnsi="Times New Roman" w:cs="Times New Roman"/>
                <w:b/>
                <w:bCs/>
                <w:color w:val="000000"/>
                <w:kern w:val="0"/>
                <w14:ligatures w14:val="none"/>
              </w:rPr>
            </w:pPr>
            <w:r w:rsidRPr="00AE5468">
              <w:rPr>
                <w:rFonts w:ascii="Times New Roman" w:eastAsia="Times New Roman" w:hAnsi="Times New Roman" w:cs="Times New Roman"/>
                <w:b/>
                <w:bCs/>
                <w:color w:val="000000"/>
                <w:kern w:val="0"/>
                <w14:ligatures w14:val="none"/>
              </w:rPr>
              <w:t>1 Business Day</w:t>
            </w:r>
          </w:p>
        </w:tc>
        <w:tc>
          <w:tcPr>
            <w:tcW w:w="1672" w:type="pct"/>
            <w:tcBorders>
              <w:top w:val="nil"/>
              <w:left w:val="nil"/>
              <w:bottom w:val="single" w:sz="4" w:space="0" w:color="auto"/>
              <w:right w:val="single" w:sz="8" w:space="0" w:color="auto"/>
            </w:tcBorders>
            <w:vAlign w:val="center"/>
            <w:hideMark/>
          </w:tcPr>
          <w:p w14:paraId="5BA39E9E" w14:textId="77777777" w:rsidR="00AE5468" w:rsidRDefault="00AE5468" w:rsidP="00AE5468">
            <w:pPr>
              <w:pStyle w:val="ListParagraph"/>
              <w:numPr>
                <w:ilvl w:val="0"/>
                <w:numId w:val="23"/>
              </w:numPr>
              <w:spacing w:after="0" w:line="240" w:lineRule="auto"/>
              <w:ind w:left="421"/>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Support Portal</w:t>
            </w:r>
          </w:p>
          <w:p w14:paraId="69CAF7A2" w14:textId="6B5CA144" w:rsidR="00AE5468" w:rsidRPr="00AE5468" w:rsidRDefault="00AE5468" w:rsidP="00AE5468">
            <w:pPr>
              <w:pStyle w:val="ListParagraph"/>
              <w:numPr>
                <w:ilvl w:val="0"/>
                <w:numId w:val="23"/>
              </w:numPr>
              <w:spacing w:after="0" w:line="240" w:lineRule="auto"/>
              <w:ind w:left="421"/>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Email</w:t>
            </w:r>
          </w:p>
        </w:tc>
      </w:tr>
      <w:tr w:rsidR="00AE5468" w:rsidRPr="00AE5468" w14:paraId="21FE2A5D" w14:textId="77777777" w:rsidTr="00AE5468">
        <w:trPr>
          <w:trHeight w:val="960"/>
        </w:trPr>
        <w:tc>
          <w:tcPr>
            <w:tcW w:w="918" w:type="pct"/>
            <w:tcBorders>
              <w:top w:val="nil"/>
              <w:left w:val="single" w:sz="8" w:space="0" w:color="auto"/>
              <w:bottom w:val="single" w:sz="8" w:space="0" w:color="auto"/>
              <w:right w:val="double" w:sz="6" w:space="0" w:color="auto"/>
            </w:tcBorders>
            <w:vAlign w:val="center"/>
            <w:hideMark/>
          </w:tcPr>
          <w:p w14:paraId="2F6800F4" w14:textId="77777777" w:rsidR="00AE5468" w:rsidRPr="00AE5468" w:rsidRDefault="00AE5468" w:rsidP="00AE5468">
            <w:pPr>
              <w:spacing w:after="0" w:line="240" w:lineRule="auto"/>
              <w:rPr>
                <w:rFonts w:ascii="Times New Roman" w:eastAsia="Times New Roman" w:hAnsi="Times New Roman" w:cs="Times New Roman"/>
                <w:b/>
                <w:bCs/>
                <w:color w:val="000000"/>
                <w:kern w:val="0"/>
                <w14:ligatures w14:val="none"/>
              </w:rPr>
            </w:pPr>
            <w:r w:rsidRPr="00AE5468">
              <w:rPr>
                <w:rFonts w:ascii="Times New Roman" w:eastAsia="Times New Roman" w:hAnsi="Times New Roman" w:cs="Times New Roman"/>
                <w:b/>
                <w:bCs/>
                <w:color w:val="000000"/>
                <w:kern w:val="0"/>
                <w14:ligatures w14:val="none"/>
              </w:rPr>
              <w:t>Severity 4: Low</w:t>
            </w:r>
          </w:p>
        </w:tc>
        <w:tc>
          <w:tcPr>
            <w:tcW w:w="1561" w:type="pct"/>
            <w:tcBorders>
              <w:top w:val="nil"/>
              <w:left w:val="nil"/>
              <w:bottom w:val="single" w:sz="8" w:space="0" w:color="auto"/>
              <w:right w:val="single" w:sz="4" w:space="0" w:color="auto"/>
            </w:tcBorders>
            <w:vAlign w:val="center"/>
            <w:hideMark/>
          </w:tcPr>
          <w:p w14:paraId="43F953B4" w14:textId="77777777" w:rsidR="00AE5468" w:rsidRPr="00AE5468" w:rsidRDefault="00AE5468" w:rsidP="00AE5468">
            <w:pPr>
              <w:spacing w:after="0" w:line="240" w:lineRule="auto"/>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General questions about the data format for a field in the prescription history response.</w:t>
            </w:r>
          </w:p>
        </w:tc>
        <w:tc>
          <w:tcPr>
            <w:tcW w:w="849" w:type="pct"/>
            <w:tcBorders>
              <w:top w:val="nil"/>
              <w:left w:val="nil"/>
              <w:bottom w:val="single" w:sz="8" w:space="0" w:color="auto"/>
              <w:right w:val="single" w:sz="4" w:space="0" w:color="auto"/>
            </w:tcBorders>
            <w:vAlign w:val="center"/>
            <w:hideMark/>
          </w:tcPr>
          <w:p w14:paraId="4F0CE9AB" w14:textId="77777777" w:rsidR="00AE5468" w:rsidRPr="00AE5468" w:rsidRDefault="00AE5468" w:rsidP="00AE5468">
            <w:pPr>
              <w:spacing w:after="0" w:line="240" w:lineRule="auto"/>
              <w:jc w:val="center"/>
              <w:rPr>
                <w:rFonts w:ascii="Times New Roman" w:eastAsia="Times New Roman" w:hAnsi="Times New Roman" w:cs="Times New Roman"/>
                <w:b/>
                <w:bCs/>
                <w:color w:val="000000"/>
                <w:kern w:val="0"/>
                <w14:ligatures w14:val="none"/>
              </w:rPr>
            </w:pPr>
            <w:r w:rsidRPr="00AE5468">
              <w:rPr>
                <w:rFonts w:ascii="Times New Roman" w:eastAsia="Times New Roman" w:hAnsi="Times New Roman" w:cs="Times New Roman"/>
                <w:b/>
                <w:bCs/>
                <w:color w:val="000000"/>
                <w:kern w:val="0"/>
                <w14:ligatures w14:val="none"/>
              </w:rPr>
              <w:t>2 Business Days</w:t>
            </w:r>
          </w:p>
        </w:tc>
        <w:tc>
          <w:tcPr>
            <w:tcW w:w="1672" w:type="pct"/>
            <w:tcBorders>
              <w:top w:val="nil"/>
              <w:left w:val="nil"/>
              <w:bottom w:val="single" w:sz="8" w:space="0" w:color="auto"/>
              <w:right w:val="single" w:sz="8" w:space="0" w:color="auto"/>
            </w:tcBorders>
            <w:vAlign w:val="center"/>
            <w:hideMark/>
          </w:tcPr>
          <w:p w14:paraId="03EB61A9" w14:textId="77777777" w:rsidR="00AE5468" w:rsidRDefault="00AE5468" w:rsidP="00AE5468">
            <w:pPr>
              <w:pStyle w:val="ListParagraph"/>
              <w:numPr>
                <w:ilvl w:val="0"/>
                <w:numId w:val="23"/>
              </w:numPr>
              <w:spacing w:after="0" w:line="240" w:lineRule="auto"/>
              <w:ind w:left="421"/>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Support Portal</w:t>
            </w:r>
          </w:p>
          <w:p w14:paraId="3D6D37B0" w14:textId="08BADE36" w:rsidR="00AE5468" w:rsidRPr="00AE5468" w:rsidRDefault="00AE5468" w:rsidP="00AE5468">
            <w:pPr>
              <w:pStyle w:val="ListParagraph"/>
              <w:numPr>
                <w:ilvl w:val="0"/>
                <w:numId w:val="23"/>
              </w:numPr>
              <w:spacing w:after="0" w:line="240" w:lineRule="auto"/>
              <w:ind w:left="421"/>
              <w:rPr>
                <w:rFonts w:ascii="Times New Roman" w:eastAsia="Times New Roman" w:hAnsi="Times New Roman" w:cs="Times New Roman"/>
                <w:color w:val="000000"/>
                <w:kern w:val="0"/>
                <w14:ligatures w14:val="none"/>
              </w:rPr>
            </w:pPr>
            <w:r w:rsidRPr="00AE5468">
              <w:rPr>
                <w:rFonts w:ascii="Times New Roman" w:eastAsia="Times New Roman" w:hAnsi="Times New Roman" w:cs="Times New Roman"/>
                <w:color w:val="000000"/>
                <w:kern w:val="0"/>
                <w14:ligatures w14:val="none"/>
              </w:rPr>
              <w:t>Email</w:t>
            </w:r>
          </w:p>
        </w:tc>
      </w:tr>
    </w:tbl>
    <w:p w14:paraId="121EC972" w14:textId="569A073F" w:rsidR="008446AB" w:rsidRPr="008446AB" w:rsidRDefault="008446AB" w:rsidP="00AE5468">
      <w:pPr>
        <w:pStyle w:val="Heading3"/>
        <w:rPr>
          <w:rFonts w:eastAsia="Times New Roman"/>
        </w:rPr>
      </w:pPr>
      <w:r w:rsidRPr="008446AB">
        <w:rPr>
          <w:rFonts w:eastAsia="Times New Roman"/>
        </w:rPr>
        <w:t>2.2.2. Human Resource Availability</w:t>
      </w:r>
    </w:p>
    <w:p w14:paraId="4222CFB0" w14:textId="77777777" w:rsidR="008446AB" w:rsidRPr="008446AB" w:rsidRDefault="008446AB" w:rsidP="00AE5468">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Both parties agree to make key personnel available during standard business hours (9:00 AM to 5:00 PM) in their respective time zones, Monday through Friday, to support joint projects and resolve complex escalations.</w:t>
      </w:r>
    </w:p>
    <w:p w14:paraId="4C867265" w14:textId="77777777" w:rsidR="008446AB" w:rsidRPr="008446AB" w:rsidRDefault="008446AB" w:rsidP="00AE5468">
      <w:pPr>
        <w:pStyle w:val="Heading2"/>
        <w:rPr>
          <w:rFonts w:eastAsia="Times New Roman"/>
        </w:rPr>
      </w:pPr>
      <w:r w:rsidRPr="008446AB">
        <w:rPr>
          <w:rFonts w:eastAsia="Times New Roman"/>
        </w:rPr>
        <w:t>2.3. General Communications Protocols</w:t>
      </w:r>
    </w:p>
    <w:p w14:paraId="5CDF7644" w14:textId="77777777" w:rsidR="008446AB" w:rsidRPr="008446AB" w:rsidRDefault="008446AB" w:rsidP="008446A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Incident Management:</w:t>
      </w:r>
      <w:r w:rsidRPr="008446AB">
        <w:rPr>
          <w:rFonts w:ascii="Times New Roman" w:eastAsia="Times New Roman" w:hAnsi="Times New Roman" w:cs="Times New Roman"/>
          <w:kern w:val="0"/>
          <w14:ligatures w14:val="none"/>
        </w:rPr>
        <w:t xml:space="preserve"> The Provider shall maintain a public Status Page. For Severity 1/2 incidents, the Provider will proactively notify the Aetna On-Call Engineering Contact.</w:t>
      </w:r>
    </w:p>
    <w:p w14:paraId="03C8E5EC" w14:textId="77777777" w:rsidR="008446AB" w:rsidRPr="008446AB" w:rsidRDefault="008446AB" w:rsidP="008446A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Scheduled Maintenance:</w:t>
      </w:r>
      <w:r w:rsidRPr="008446AB">
        <w:rPr>
          <w:rFonts w:ascii="Times New Roman" w:eastAsia="Times New Roman" w:hAnsi="Times New Roman" w:cs="Times New Roman"/>
          <w:kern w:val="0"/>
          <w14:ligatures w14:val="none"/>
        </w:rPr>
        <w:t xml:space="preserve"> The Provider will announce maintenance via the Status Page and email the Primary Technical Contact at least 72 hours in advance.</w:t>
      </w:r>
    </w:p>
    <w:p w14:paraId="4D2952B2" w14:textId="77777777" w:rsidR="008446AB" w:rsidRPr="008446AB" w:rsidRDefault="008446AB" w:rsidP="008446A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Lifecycle Announcements:</w:t>
      </w:r>
      <w:r w:rsidRPr="008446AB">
        <w:rPr>
          <w:rFonts w:ascii="Times New Roman" w:eastAsia="Times New Roman" w:hAnsi="Times New Roman" w:cs="Times New Roman"/>
          <w:kern w:val="0"/>
          <w14:ligatures w14:val="none"/>
        </w:rPr>
        <w:t xml:space="preserve"> Versioning and retirement notices will be sent via email to the Primary Technical Contact.</w:t>
      </w:r>
    </w:p>
    <w:p w14:paraId="455646D6" w14:textId="77777777" w:rsidR="008446AB" w:rsidRPr="008446AB" w:rsidRDefault="008446AB" w:rsidP="00AE5468">
      <w:pPr>
        <w:pStyle w:val="Heading1"/>
        <w:rPr>
          <w:rFonts w:eastAsia="Times New Roman"/>
        </w:rPr>
      </w:pPr>
      <w:bookmarkStart w:id="2" w:name="_Toc205425096"/>
      <w:r w:rsidRPr="008446AB">
        <w:rPr>
          <w:rFonts w:eastAsia="Times New Roman"/>
        </w:rPr>
        <w:t>Section 3: Feature Integration Lifecycle Framework</w:t>
      </w:r>
      <w:bookmarkEnd w:id="2"/>
    </w:p>
    <w:p w14:paraId="19E86739"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i/>
          <w:iCs/>
          <w:kern w:val="0"/>
          <w14:ligatures w14:val="none"/>
        </w:rPr>
      </w:pPr>
      <w:r w:rsidRPr="008446AB">
        <w:rPr>
          <w:rFonts w:ascii="Times New Roman" w:eastAsia="Times New Roman" w:hAnsi="Times New Roman" w:cs="Times New Roman"/>
          <w:b/>
          <w:bCs/>
          <w:i/>
          <w:iCs/>
          <w:kern w:val="0"/>
          <w14:ligatures w14:val="none"/>
        </w:rPr>
        <w:t>Description:</w:t>
      </w:r>
      <w:r w:rsidRPr="008446AB">
        <w:rPr>
          <w:rFonts w:ascii="Times New Roman" w:eastAsia="Times New Roman" w:hAnsi="Times New Roman" w:cs="Times New Roman"/>
          <w:i/>
          <w:iCs/>
          <w:kern w:val="0"/>
          <w14:ligatures w14:val="none"/>
        </w:rPr>
        <w:t xml:space="preserve"> This section replaces the previous Program Management framework with a more detailed, front-loaded process for feature intake, refinement, and execution. It establishes a formal framework for how the two organizations collaborate on all new service integrations.</w:t>
      </w:r>
    </w:p>
    <w:p w14:paraId="75EF5C71" w14:textId="77777777" w:rsidR="007A73DC" w:rsidRDefault="008446AB" w:rsidP="007A73DC">
      <w:pPr>
        <w:spacing w:before="100" w:beforeAutospacing="1" w:after="100" w:afterAutospacing="1" w:line="240" w:lineRule="auto"/>
        <w:rPr>
          <w:rFonts w:ascii="Times New Roman" w:eastAsia="Times New Roman" w:hAnsi="Times New Roman" w:cs="Times New Roman"/>
          <w:kern w:val="0"/>
          <w14:ligatures w14:val="none"/>
        </w:rPr>
        <w:sectPr w:rsidR="007A73DC">
          <w:pgSz w:w="12240" w:h="15840"/>
          <w:pgMar w:top="1440" w:right="1440" w:bottom="1440" w:left="1440" w:header="720" w:footer="720" w:gutter="0"/>
          <w:cols w:space="720"/>
          <w:docGrid w:linePitch="360"/>
        </w:sect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ensure that all joint initiatives are vetted, planned, and executed in a coordinated and transparent manner, mitigating risks and delivering on shared objectives.</w:t>
      </w:r>
    </w:p>
    <w:p w14:paraId="56748A97" w14:textId="77777777" w:rsidR="007A73DC" w:rsidRDefault="007A73DC" w:rsidP="007A73DC">
      <w:pPr>
        <w:spacing w:before="100" w:beforeAutospacing="1" w:after="100" w:afterAutospacing="1" w:line="240" w:lineRule="auto"/>
        <w:rPr>
          <w:rFonts w:ascii="Times New Roman" w:eastAsia="Times New Roman" w:hAnsi="Times New Roman" w:cs="Times New Roman"/>
          <w:kern w:val="0"/>
          <w14:ligatures w14:val="none"/>
        </w:rPr>
      </w:pPr>
    </w:p>
    <w:p w14:paraId="61F4D22C" w14:textId="77777777" w:rsidR="007A73DC" w:rsidRPr="008446AB" w:rsidRDefault="007A73DC" w:rsidP="007A73DC">
      <w:pPr>
        <w:spacing w:before="100" w:beforeAutospacing="1" w:after="100" w:afterAutospacing="1" w:line="240" w:lineRule="auto"/>
        <w:rPr>
          <w:rFonts w:ascii="Times New Roman" w:eastAsia="Times New Roman" w:hAnsi="Times New Roman" w:cs="Times New Roman"/>
          <w:kern w:val="0"/>
          <w14:ligatures w14:val="none"/>
        </w:rPr>
      </w:pPr>
    </w:p>
    <w:p w14:paraId="4FF5993F" w14:textId="77777777" w:rsidR="007A73DC" w:rsidRDefault="007A73DC" w:rsidP="00AE5468">
      <w:pPr>
        <w:pStyle w:val="Heading2"/>
        <w:rPr>
          <w:rFonts w:eastAsia="Times New Roman"/>
        </w:rPr>
        <w:sectPr w:rsidR="007A73DC">
          <w:pgSz w:w="12240" w:h="15840"/>
          <w:pgMar w:top="1440" w:right="1440" w:bottom="1440" w:left="1440" w:header="720" w:footer="720" w:gutter="0"/>
          <w:cols w:space="720"/>
          <w:docGrid w:linePitch="360"/>
        </w:sectPr>
      </w:pPr>
    </w:p>
    <w:p w14:paraId="5CA02BF6" w14:textId="77777777" w:rsidR="008446AB" w:rsidRPr="008446AB" w:rsidRDefault="008446AB" w:rsidP="00AE5468">
      <w:pPr>
        <w:pStyle w:val="Heading2"/>
        <w:rPr>
          <w:rFonts w:eastAsia="Times New Roman"/>
        </w:rPr>
      </w:pPr>
      <w:r w:rsidRPr="008446AB">
        <w:rPr>
          <w:rFonts w:eastAsia="Times New Roman"/>
        </w:rPr>
        <w:t>Part 1: Joint Discovery &amp; Definition (1-3 Day Working Session)</w:t>
      </w:r>
    </w:p>
    <w:p w14:paraId="07C3686B"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 xml:space="preserve">The first two phases are conducted as a single, intensive set of </w:t>
      </w:r>
      <w:proofErr w:type="gramStart"/>
      <w:r w:rsidRPr="008446AB">
        <w:rPr>
          <w:rFonts w:ascii="Times New Roman" w:eastAsia="Times New Roman" w:hAnsi="Times New Roman" w:cs="Times New Roman"/>
          <w:kern w:val="0"/>
          <w14:ligatures w14:val="none"/>
        </w:rPr>
        <w:t>collaborative</w:t>
      </w:r>
      <w:proofErr w:type="gramEnd"/>
      <w:r w:rsidRPr="008446AB">
        <w:rPr>
          <w:rFonts w:ascii="Times New Roman" w:eastAsia="Times New Roman" w:hAnsi="Times New Roman" w:cs="Times New Roman"/>
          <w:kern w:val="0"/>
          <w14:ligatures w14:val="none"/>
        </w:rPr>
        <w:t xml:space="preserve"> working sessions. The goal is to move rapidly from a high-level concept to a refined, actionable plan with clear ownership.</w:t>
      </w:r>
    </w:p>
    <w:p w14:paraId="6E89817F" w14:textId="77777777" w:rsidR="008446AB" w:rsidRPr="008446AB" w:rsidRDefault="008446AB" w:rsidP="00AE546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Phase 1: Feature Onboarding</w:t>
      </w:r>
    </w:p>
    <w:p w14:paraId="2C39E0EB"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establish a unified, cross-organizational understanding of the feature's business value, strategic intent, and high-level boundaries.</w:t>
      </w:r>
    </w:p>
    <w:p w14:paraId="437673E8"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Personnel:</w:t>
      </w:r>
    </w:p>
    <w:p w14:paraId="324971A2"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Required:</w:t>
      </w:r>
      <w:r w:rsidRPr="008446AB">
        <w:rPr>
          <w:rFonts w:ascii="Times New Roman" w:eastAsia="Times New Roman" w:hAnsi="Times New Roman" w:cs="Times New Roman"/>
          <w:kern w:val="0"/>
          <w14:ligatures w14:val="none"/>
        </w:rPr>
        <w:t xml:space="preserve"> Aetna Product Owner, CVS Product Owner, Aetna Lead Architect, CVS Lead Architect, Aetna Lead Engineer, CVS Lead Engineer.</w:t>
      </w:r>
    </w:p>
    <w:p w14:paraId="46993256"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Optional:</w:t>
      </w:r>
      <w:r w:rsidRPr="008446AB">
        <w:rPr>
          <w:rFonts w:ascii="Times New Roman" w:eastAsia="Times New Roman" w:hAnsi="Times New Roman" w:cs="Times New Roman"/>
          <w:kern w:val="0"/>
          <w14:ligatures w14:val="none"/>
        </w:rPr>
        <w:t xml:space="preserve"> Aetna/CVS Business Stakeholders, Aetna XD/Content Lead.</w:t>
      </w:r>
    </w:p>
    <w:p w14:paraId="7E2CE8F3"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Inputs:</w:t>
      </w:r>
    </w:p>
    <w:p w14:paraId="1BF1BF12"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Business Case or Feature Proposal (Required, Joint).</w:t>
      </w:r>
    </w:p>
    <w:p w14:paraId="243BD4B5"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Outputs:</w:t>
      </w:r>
    </w:p>
    <w:p w14:paraId="265BDBF4"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 high-level Product Requirements Document (PRD) (Required for Phase 2, Joint).</w:t>
      </w:r>
    </w:p>
    <w:p w14:paraId="2D11DBF6"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Responsibilities:</w:t>
      </w:r>
    </w:p>
    <w:p w14:paraId="21302850"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Jointly present the feature concept, value proposition, and success metrics (Joint).</w:t>
      </w:r>
    </w:p>
    <w:p w14:paraId="4F874487"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Co-author the high-level PRD (Joint).</w:t>
      </w:r>
    </w:p>
    <w:p w14:paraId="135CC31E"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Provide an initial "technical conscience" review, identify potential system impacts, and flag major architectural hurdles or risks (Joint).</w:t>
      </w:r>
    </w:p>
    <w:p w14:paraId="68B601BB" w14:textId="77777777" w:rsidR="008446AB" w:rsidRPr="008446AB" w:rsidRDefault="008446AB" w:rsidP="008446A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Phase 2: Feature Refinement (External)</w:t>
      </w:r>
    </w:p>
    <w:p w14:paraId="296D46BD"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dissect the high-level requirements, identify specific provider-side (CVS) system impacts, and produce a formal, feature-specific RACI matrix to ensure clear ownership.</w:t>
      </w:r>
    </w:p>
    <w:p w14:paraId="603F9866"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Personnel:</w:t>
      </w:r>
    </w:p>
    <w:p w14:paraId="02C675CC"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Required:</w:t>
      </w:r>
      <w:r w:rsidRPr="008446AB">
        <w:rPr>
          <w:rFonts w:ascii="Times New Roman" w:eastAsia="Times New Roman" w:hAnsi="Times New Roman" w:cs="Times New Roman"/>
          <w:kern w:val="0"/>
          <w14:ligatures w14:val="none"/>
        </w:rPr>
        <w:t xml:space="preserve"> Aetna Product Owner, CVS Product Owner, CVS Lead Architect, CVS Lead Engineer.</w:t>
      </w:r>
    </w:p>
    <w:p w14:paraId="12A1C670"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Optional:</w:t>
      </w:r>
      <w:r w:rsidRPr="008446AB">
        <w:rPr>
          <w:rFonts w:ascii="Times New Roman" w:eastAsia="Times New Roman" w:hAnsi="Times New Roman" w:cs="Times New Roman"/>
          <w:kern w:val="0"/>
          <w14:ligatures w14:val="none"/>
        </w:rPr>
        <w:t xml:space="preserve"> Aetna </w:t>
      </w:r>
      <w:proofErr w:type="gramStart"/>
      <w:r w:rsidRPr="008446AB">
        <w:rPr>
          <w:rFonts w:ascii="Times New Roman" w:eastAsia="Times New Roman" w:hAnsi="Times New Roman" w:cs="Times New Roman"/>
          <w:kern w:val="0"/>
          <w14:ligatures w14:val="none"/>
        </w:rPr>
        <w:t>Lead</w:t>
      </w:r>
      <w:proofErr w:type="gramEnd"/>
      <w:r w:rsidRPr="008446AB">
        <w:rPr>
          <w:rFonts w:ascii="Times New Roman" w:eastAsia="Times New Roman" w:hAnsi="Times New Roman" w:cs="Times New Roman"/>
          <w:kern w:val="0"/>
          <w14:ligatures w14:val="none"/>
        </w:rPr>
        <w:t xml:space="preserve"> Architect, Aetna Lead Engineer, PMO/Program Management.</w:t>
      </w:r>
    </w:p>
    <w:p w14:paraId="63467A6C"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Inputs:</w:t>
      </w:r>
    </w:p>
    <w:p w14:paraId="21D379DF"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High-level PRD from Phase 1 (Required, Joint).</w:t>
      </w:r>
    </w:p>
    <w:p w14:paraId="48F7246C"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Outputs:</w:t>
      </w:r>
    </w:p>
    <w:p w14:paraId="4C3D16DB"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 refined PRD with detailed requirements (Required for Phase 3, Joint).</w:t>
      </w:r>
    </w:p>
    <w:p w14:paraId="5EA29E4F"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 preliminary Dependency Matrix (Required for Phase 3, CVS).</w:t>
      </w:r>
    </w:p>
    <w:p w14:paraId="1FA012DE"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 feature-specific RACI Matrix (Required for Phase 3, Joint).</w:t>
      </w:r>
    </w:p>
    <w:p w14:paraId="5B00A424" w14:textId="77777777" w:rsidR="008446AB" w:rsidRPr="008446AB" w:rsidRDefault="008446AB" w:rsidP="008446A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Responsibilities:</w:t>
      </w:r>
    </w:p>
    <w:p w14:paraId="42A5DC95"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 xml:space="preserve">Provide detailed clarification </w:t>
      </w:r>
      <w:proofErr w:type="gramStart"/>
      <w:r w:rsidRPr="008446AB">
        <w:rPr>
          <w:rFonts w:ascii="Times New Roman" w:eastAsia="Times New Roman" w:hAnsi="Times New Roman" w:cs="Times New Roman"/>
          <w:kern w:val="0"/>
          <w14:ligatures w14:val="none"/>
        </w:rPr>
        <w:t>on</w:t>
      </w:r>
      <w:proofErr w:type="gramEnd"/>
      <w:r w:rsidRPr="008446AB">
        <w:rPr>
          <w:rFonts w:ascii="Times New Roman" w:eastAsia="Times New Roman" w:hAnsi="Times New Roman" w:cs="Times New Roman"/>
          <w:kern w:val="0"/>
          <w14:ligatures w14:val="none"/>
        </w:rPr>
        <w:t xml:space="preserve"> requirements from the consumer perspective (Aetna).</w:t>
      </w:r>
    </w:p>
    <w:p w14:paraId="700C225B"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Lead the session, drive the creation of the RACI matrix, and ensure all CVS impacts are captured (CVS).</w:t>
      </w:r>
    </w:p>
    <w:p w14:paraId="1C8F0249" w14:textId="77777777" w:rsidR="008446AB" w:rsidRPr="008446AB" w:rsidRDefault="008446AB" w:rsidP="008446AB">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Identify all impacted CVS APIs, services, and applications and provide initial, high-level effort estimates (CVS).</w:t>
      </w:r>
    </w:p>
    <w:p w14:paraId="35575C7F" w14:textId="77777777" w:rsidR="008446AB" w:rsidRPr="008446AB" w:rsidRDefault="008446AB" w:rsidP="00AE5468">
      <w:pPr>
        <w:pStyle w:val="Heading2"/>
        <w:rPr>
          <w:rFonts w:eastAsia="Times New Roman"/>
        </w:rPr>
      </w:pPr>
      <w:r w:rsidRPr="008446AB">
        <w:rPr>
          <w:rFonts w:eastAsia="Times New Roman"/>
        </w:rPr>
        <w:t>Part 2: Internal Assessment &amp; Commitment (Weeks 1-3 Post-Discovery)</w:t>
      </w:r>
    </w:p>
    <w:p w14:paraId="738453E4"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 xml:space="preserve">Following the joint discovery session, both organizations take the outputs for internal analysis, solutioning, and estimation. This period culminates in </w:t>
      </w:r>
      <w:proofErr w:type="gramStart"/>
      <w:r w:rsidRPr="008446AB">
        <w:rPr>
          <w:rFonts w:ascii="Times New Roman" w:eastAsia="Times New Roman" w:hAnsi="Times New Roman" w:cs="Times New Roman"/>
          <w:kern w:val="0"/>
          <w14:ligatures w14:val="none"/>
        </w:rPr>
        <w:t>a formal</w:t>
      </w:r>
      <w:proofErr w:type="gramEnd"/>
      <w:r w:rsidRPr="008446AB">
        <w:rPr>
          <w:rFonts w:ascii="Times New Roman" w:eastAsia="Times New Roman" w:hAnsi="Times New Roman" w:cs="Times New Roman"/>
          <w:kern w:val="0"/>
          <w14:ligatures w14:val="none"/>
        </w:rPr>
        <w:t xml:space="preserve"> commitment.</w:t>
      </w:r>
    </w:p>
    <w:p w14:paraId="36935747" w14:textId="77777777" w:rsidR="008446AB" w:rsidRPr="008446AB" w:rsidRDefault="008446AB" w:rsidP="008446A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Phase 3: Feature Refinement (Internal - Aetna)</w:t>
      </w:r>
    </w:p>
    <w:p w14:paraId="4D88059A"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For the Aetna technical teams to analyze the refined requirements, develop high-level solution options for the Aetna-side implementation, and generate a formal, detailed Intake Request for CVS.</w:t>
      </w:r>
    </w:p>
    <w:p w14:paraId="764BB15F"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Personnel:</w:t>
      </w:r>
    </w:p>
    <w:p w14:paraId="50E06DD7"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Required:</w:t>
      </w:r>
      <w:r w:rsidRPr="008446AB">
        <w:rPr>
          <w:rFonts w:ascii="Times New Roman" w:eastAsia="Times New Roman" w:hAnsi="Times New Roman" w:cs="Times New Roman"/>
          <w:kern w:val="0"/>
          <w14:ligatures w14:val="none"/>
        </w:rPr>
        <w:t xml:space="preserve"> Aetna </w:t>
      </w:r>
      <w:proofErr w:type="gramStart"/>
      <w:r w:rsidRPr="008446AB">
        <w:rPr>
          <w:rFonts w:ascii="Times New Roman" w:eastAsia="Times New Roman" w:hAnsi="Times New Roman" w:cs="Times New Roman"/>
          <w:kern w:val="0"/>
          <w14:ligatures w14:val="none"/>
        </w:rPr>
        <w:t>Lead</w:t>
      </w:r>
      <w:proofErr w:type="gramEnd"/>
      <w:r w:rsidRPr="008446AB">
        <w:rPr>
          <w:rFonts w:ascii="Times New Roman" w:eastAsia="Times New Roman" w:hAnsi="Times New Roman" w:cs="Times New Roman"/>
          <w:kern w:val="0"/>
          <w14:ligatures w14:val="none"/>
        </w:rPr>
        <w:t xml:space="preserve"> Architect, Aetna Lead Engineer, Aetna XD/Content Lead, Aetna Product Owner.</w:t>
      </w:r>
    </w:p>
    <w:p w14:paraId="4CE2B356"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Optional:</w:t>
      </w:r>
      <w:r w:rsidRPr="008446AB">
        <w:rPr>
          <w:rFonts w:ascii="Times New Roman" w:eastAsia="Times New Roman" w:hAnsi="Times New Roman" w:cs="Times New Roman"/>
          <w:kern w:val="0"/>
          <w14:ligatures w14:val="none"/>
        </w:rPr>
        <w:t xml:space="preserve"> PMO/Program Management.</w:t>
      </w:r>
    </w:p>
    <w:p w14:paraId="3006C91A"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Inputs:</w:t>
      </w:r>
    </w:p>
    <w:p w14:paraId="0F5DC2A4"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Refined PRD (Required, Joint).</w:t>
      </w:r>
    </w:p>
    <w:p w14:paraId="1B00B90A"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Dependency Matrix (Required, CVS).</w:t>
      </w:r>
    </w:p>
    <w:p w14:paraId="05C77599"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RACI Matrix (Required, Joint).</w:t>
      </w:r>
    </w:p>
    <w:p w14:paraId="4FF73490"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Outputs:</w:t>
      </w:r>
    </w:p>
    <w:p w14:paraId="59A86B2D"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High-level solution options for the Aetna implementation (Required for Phase 4, Aetna).</w:t>
      </w:r>
    </w:p>
    <w:p w14:paraId="2D2488A5"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 xml:space="preserve">A formal </w:t>
      </w:r>
      <w:r w:rsidRPr="008446AB">
        <w:rPr>
          <w:rFonts w:ascii="Times New Roman" w:eastAsia="Times New Roman" w:hAnsi="Times New Roman" w:cs="Times New Roman"/>
          <w:b/>
          <w:bCs/>
          <w:kern w:val="0"/>
          <w14:ligatures w14:val="none"/>
        </w:rPr>
        <w:t>Intake Request</w:t>
      </w:r>
      <w:r w:rsidRPr="008446AB">
        <w:rPr>
          <w:rFonts w:ascii="Times New Roman" w:eastAsia="Times New Roman" w:hAnsi="Times New Roman" w:cs="Times New Roman"/>
          <w:kern w:val="0"/>
          <w14:ligatures w14:val="none"/>
        </w:rPr>
        <w:t xml:space="preserve"> for CVS (Required for Phase 4, Aetna).</w:t>
      </w:r>
    </w:p>
    <w:p w14:paraId="6D9AFFF9"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Responsibilities:</w:t>
      </w:r>
    </w:p>
    <w:p w14:paraId="6E5AF215"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Conduct a deep-dive assessment and identify all impacted Aetna components (Aetna).</w:t>
      </w:r>
    </w:p>
    <w:p w14:paraId="32060EEF"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Develop 1-3 viable solution options for the Aetna implementation (Aetna).</w:t>
      </w:r>
    </w:p>
    <w:p w14:paraId="2D77B1AE"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Author the formal Intake Request, ensuring it includes detailed technical deliverables, operational support requirements, and the agreed-upon RACI matrix (Aetna).</w:t>
      </w:r>
    </w:p>
    <w:p w14:paraId="63E8254B" w14:textId="77777777" w:rsidR="008446AB" w:rsidRPr="008446AB" w:rsidRDefault="008446AB" w:rsidP="008446A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Phase 4: Aetna Feature Sizing &amp; Assignment</w:t>
      </w:r>
    </w:p>
    <w:p w14:paraId="5BEB9A37"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secure a formal commitment from CVS, provide a reliable size estimate for the Aetna-side work, and formally assign the feature to a Program Increment (PI).</w:t>
      </w:r>
    </w:p>
    <w:p w14:paraId="7888265D"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Personnel:</w:t>
      </w:r>
    </w:p>
    <w:p w14:paraId="1A34BDB1"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Required:</w:t>
      </w:r>
      <w:r w:rsidRPr="008446AB">
        <w:rPr>
          <w:rFonts w:ascii="Times New Roman" w:eastAsia="Times New Roman" w:hAnsi="Times New Roman" w:cs="Times New Roman"/>
          <w:kern w:val="0"/>
          <w14:ligatures w14:val="none"/>
        </w:rPr>
        <w:t xml:space="preserve"> Aetna Product Owner, Aetna Scrum Team Leads.</w:t>
      </w:r>
    </w:p>
    <w:p w14:paraId="745DE52C"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Optional:</w:t>
      </w:r>
      <w:r w:rsidRPr="008446AB">
        <w:rPr>
          <w:rFonts w:ascii="Times New Roman" w:eastAsia="Times New Roman" w:hAnsi="Times New Roman" w:cs="Times New Roman"/>
          <w:kern w:val="0"/>
          <w14:ligatures w14:val="none"/>
        </w:rPr>
        <w:t xml:space="preserve"> Aetna Architecture, Aetna XD/Content, Aetna QA/Data, PMO/Program Management.</w:t>
      </w:r>
    </w:p>
    <w:p w14:paraId="512DB9D3"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Inputs:</w:t>
      </w:r>
    </w:p>
    <w:p w14:paraId="623EC2C5"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High-level solution options from Phase 3 (Required, Aetna).</w:t>
      </w:r>
    </w:p>
    <w:p w14:paraId="1CC2E7B8"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 xml:space="preserve">A </w:t>
      </w:r>
      <w:proofErr w:type="gramStart"/>
      <w:r w:rsidRPr="008446AB">
        <w:rPr>
          <w:rFonts w:ascii="Times New Roman" w:eastAsia="Times New Roman" w:hAnsi="Times New Roman" w:cs="Times New Roman"/>
          <w:kern w:val="0"/>
          <w14:ligatures w14:val="none"/>
        </w:rPr>
        <w:t>formally</w:t>
      </w:r>
      <w:proofErr w:type="gramEnd"/>
      <w:r w:rsidRPr="008446AB">
        <w:rPr>
          <w:rFonts w:ascii="Times New Roman" w:eastAsia="Times New Roman" w:hAnsi="Times New Roman" w:cs="Times New Roman"/>
          <w:kern w:val="0"/>
          <w14:ligatures w14:val="none"/>
        </w:rPr>
        <w:t xml:space="preserve"> </w:t>
      </w:r>
      <w:r w:rsidRPr="008446AB">
        <w:rPr>
          <w:rFonts w:ascii="Times New Roman" w:eastAsia="Times New Roman" w:hAnsi="Times New Roman" w:cs="Times New Roman"/>
          <w:b/>
          <w:bCs/>
          <w:kern w:val="0"/>
          <w14:ligatures w14:val="none"/>
        </w:rPr>
        <w:t>"Accepted"</w:t>
      </w:r>
      <w:r w:rsidRPr="008446AB">
        <w:rPr>
          <w:rFonts w:ascii="Times New Roman" w:eastAsia="Times New Roman" w:hAnsi="Times New Roman" w:cs="Times New Roman"/>
          <w:kern w:val="0"/>
          <w14:ligatures w14:val="none"/>
        </w:rPr>
        <w:t xml:space="preserve"> Intake Request from the CVS Product Owner (Required, CVS).</w:t>
      </w:r>
    </w:p>
    <w:p w14:paraId="7C4043C0"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Outputs:</w:t>
      </w:r>
    </w:p>
    <w:p w14:paraId="487408A6"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High-level T-shirt Sizing (S, M, L, XL) for the Aetna portion of the feature (Required for Phase N, Aetna).</w:t>
      </w:r>
    </w:p>
    <w:p w14:paraId="267C915D"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Formal assignment of the feature to a target Program Increment (Required for Phase N, Aetna).</w:t>
      </w:r>
    </w:p>
    <w:p w14:paraId="13E15416" w14:textId="77777777" w:rsidR="008446AB" w:rsidRPr="008446AB" w:rsidRDefault="008446AB" w:rsidP="008446A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Responsibilities:</w:t>
      </w:r>
    </w:p>
    <w:p w14:paraId="4663856A"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Review and formally accept or reject the Intake Request, thereby committing to the specified deliverables and support model (CVS).</w:t>
      </w:r>
    </w:p>
    <w:p w14:paraId="730220E6"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Review the accepted request and internal solution options to provide a high-level T-shirt size (Aetna).</w:t>
      </w:r>
    </w:p>
    <w:p w14:paraId="33B51F40" w14:textId="77777777" w:rsidR="008446AB" w:rsidRPr="008446AB" w:rsidRDefault="008446AB" w:rsidP="008446AB">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Upon receiving the accepted Intake and sizing, formally slot the feature into the appropriate PI (Aetna).</w:t>
      </w:r>
    </w:p>
    <w:p w14:paraId="467CB24A" w14:textId="77777777" w:rsidR="008446AB" w:rsidRPr="008446AB" w:rsidRDefault="008446AB" w:rsidP="00AE5468">
      <w:pPr>
        <w:pStyle w:val="Heading2"/>
        <w:rPr>
          <w:rFonts w:eastAsia="Times New Roman"/>
        </w:rPr>
      </w:pPr>
      <w:r w:rsidRPr="008446AB">
        <w:rPr>
          <w:rFonts w:eastAsia="Times New Roman"/>
        </w:rPr>
        <w:t>Part 3: Phase N - Planning &amp; Execution</w:t>
      </w:r>
    </w:p>
    <w:p w14:paraId="38D0AB22"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 xml:space="preserve">This section details the iterative process of building, testing, and releasing the integrated </w:t>
      </w:r>
      <w:proofErr w:type="gramStart"/>
      <w:r w:rsidRPr="008446AB">
        <w:rPr>
          <w:rFonts w:ascii="Times New Roman" w:eastAsia="Times New Roman" w:hAnsi="Times New Roman" w:cs="Times New Roman"/>
          <w:kern w:val="0"/>
          <w14:ligatures w14:val="none"/>
        </w:rPr>
        <w:t>feature</w:t>
      </w:r>
      <w:proofErr w:type="gramEnd"/>
      <w:r w:rsidRPr="008446AB">
        <w:rPr>
          <w:rFonts w:ascii="Times New Roman" w:eastAsia="Times New Roman" w:hAnsi="Times New Roman" w:cs="Times New Roman"/>
          <w:kern w:val="0"/>
          <w14:ligatures w14:val="none"/>
        </w:rPr>
        <w:t>.</w:t>
      </w:r>
    </w:p>
    <w:p w14:paraId="3842008F" w14:textId="77777777" w:rsidR="008446AB" w:rsidRPr="008446AB" w:rsidRDefault="008446AB" w:rsidP="008446A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Sub-Phase: Joint PI Planning &amp; Commitment</w:t>
      </w:r>
    </w:p>
    <w:p w14:paraId="571C332F"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decompose the feature into stories, identify and </w:t>
      </w:r>
      <w:proofErr w:type="gramStart"/>
      <w:r w:rsidRPr="008446AB">
        <w:rPr>
          <w:rFonts w:ascii="Times New Roman" w:eastAsia="Times New Roman" w:hAnsi="Times New Roman" w:cs="Times New Roman"/>
          <w:kern w:val="0"/>
          <w14:ligatures w14:val="none"/>
        </w:rPr>
        <w:t>align on</w:t>
      </w:r>
      <w:proofErr w:type="gramEnd"/>
      <w:r w:rsidRPr="008446AB">
        <w:rPr>
          <w:rFonts w:ascii="Times New Roman" w:eastAsia="Times New Roman" w:hAnsi="Times New Roman" w:cs="Times New Roman"/>
          <w:kern w:val="0"/>
          <w14:ligatures w14:val="none"/>
        </w:rPr>
        <w:t xml:space="preserve"> cross-organizational dependencies for the upcoming PI, and establish a shared commitment to the PI goals.</w:t>
      </w:r>
    </w:p>
    <w:p w14:paraId="6FE4659E"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Personnel:</w:t>
      </w:r>
      <w:r w:rsidRPr="008446AB">
        <w:rPr>
          <w:rFonts w:ascii="Times New Roman" w:eastAsia="Times New Roman" w:hAnsi="Times New Roman" w:cs="Times New Roman"/>
          <w:kern w:val="0"/>
          <w14:ligatures w14:val="none"/>
        </w:rPr>
        <w:t xml:space="preserve"> Required: Aetna &amp; CVS Product Owners, Scrum Masters, and all members of the delivery teams.</w:t>
      </w:r>
    </w:p>
    <w:p w14:paraId="281B4C8B"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Inputs:</w:t>
      </w:r>
    </w:p>
    <w:p w14:paraId="3A544AEF"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Accepted Intake Request (Required, CVS).</w:t>
      </w:r>
    </w:p>
    <w:p w14:paraId="4ECB95E1"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Aetna PI Assignment (Required, Aetna).</w:t>
      </w:r>
    </w:p>
    <w:p w14:paraId="7341B785"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Outputs:</w:t>
      </w:r>
    </w:p>
    <w:p w14:paraId="3B2A60E7"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Committed PI Objectives for both Aetna and CVS (Required, Joint).</w:t>
      </w:r>
    </w:p>
    <w:p w14:paraId="63D453DC"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An integrated PI plan (Required, Joint).</w:t>
      </w:r>
    </w:p>
    <w:p w14:paraId="63A205DF"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Responsibilities:</w:t>
      </w:r>
    </w:p>
    <w:p w14:paraId="59C82BE1"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Participate in all relevant PI planning ceremonies (Joint).</w:t>
      </w:r>
    </w:p>
    <w:p w14:paraId="6F4837D8"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Collaboratively identify and document dependencies (Joint).</w:t>
      </w:r>
    </w:p>
    <w:p w14:paraId="409342E5"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Commit to PI objectives (Joint).</w:t>
      </w:r>
    </w:p>
    <w:p w14:paraId="6C7A148B"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Facilitate dependency management (PMO).</w:t>
      </w:r>
    </w:p>
    <w:p w14:paraId="22731208" w14:textId="77777777" w:rsidR="008446AB" w:rsidRPr="008446AB" w:rsidRDefault="008446AB" w:rsidP="008446A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Sub-Phase: Iterative Development &amp; Integration</w:t>
      </w:r>
    </w:p>
    <w:p w14:paraId="3387885C"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develop and deliver the required components in an iterative fashion, with continuous integration between Aetna and CVS systems.</w:t>
      </w:r>
    </w:p>
    <w:p w14:paraId="718707E3"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Personnel:</w:t>
      </w:r>
      <w:r w:rsidRPr="008446AB">
        <w:rPr>
          <w:rFonts w:ascii="Times New Roman" w:eastAsia="Times New Roman" w:hAnsi="Times New Roman" w:cs="Times New Roman"/>
          <w:kern w:val="0"/>
          <w14:ligatures w14:val="none"/>
        </w:rPr>
        <w:t xml:space="preserve"> Required: Aetna &amp; CVS Engineering, Architecture, and QA teams.</w:t>
      </w:r>
    </w:p>
    <w:p w14:paraId="644680D4"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Inputs:</w:t>
      </w:r>
    </w:p>
    <w:p w14:paraId="7FC93E79"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Committed PI Objectives and backlogs (Required, Joint).</w:t>
      </w:r>
    </w:p>
    <w:p w14:paraId="666E92A7"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Outputs:</w:t>
      </w:r>
    </w:p>
    <w:p w14:paraId="3AFD03AF"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Functioning software deployed to a shared integration environment (Required, CVS).</w:t>
      </w:r>
    </w:p>
    <w:p w14:paraId="17832373"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Responsibilities:</w:t>
      </w:r>
    </w:p>
    <w:p w14:paraId="1CF3A236"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Deploy new service versions to the shared environment (CVS).</w:t>
      </w:r>
    </w:p>
    <w:p w14:paraId="49A2A445"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Continuously integrate with and test against deployed services (Aetna).</w:t>
      </w:r>
    </w:p>
    <w:p w14:paraId="7F84BCCF"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Adhere to the agreed-upon API contracts (Joint).</w:t>
      </w:r>
    </w:p>
    <w:p w14:paraId="224C57EC" w14:textId="77777777" w:rsidR="008446AB" w:rsidRPr="008446AB" w:rsidRDefault="008446AB" w:rsidP="008446A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Sub-Phase: End-to-End Testing &amp; Validation</w:t>
      </w:r>
    </w:p>
    <w:p w14:paraId="65D5C2FD"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ensure the integrated feature is functionally correct, performant, secure, and ready for a production release.</w:t>
      </w:r>
    </w:p>
    <w:p w14:paraId="54A63DF9"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Personnel:</w:t>
      </w:r>
      <w:r w:rsidRPr="008446AB">
        <w:rPr>
          <w:rFonts w:ascii="Times New Roman" w:eastAsia="Times New Roman" w:hAnsi="Times New Roman" w:cs="Times New Roman"/>
          <w:kern w:val="0"/>
          <w14:ligatures w14:val="none"/>
        </w:rPr>
        <w:t xml:space="preserve"> Required: Aetna &amp; CVS QA/Data, Engineering, and Product teams.</w:t>
      </w:r>
    </w:p>
    <w:p w14:paraId="08A4600A"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Inputs:</w:t>
      </w:r>
    </w:p>
    <w:p w14:paraId="2505064C"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Feature-complete software in a production-like test environment (Required, Joint).</w:t>
      </w:r>
    </w:p>
    <w:p w14:paraId="4CCF60F5"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Outputs:</w:t>
      </w:r>
    </w:p>
    <w:p w14:paraId="4AC77E8E"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 completed E2E test report (Required, Joint).</w:t>
      </w:r>
    </w:p>
    <w:p w14:paraId="624EE879"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Formal UAT sign-off from the Aetna Product Owner (Required, Aetna).</w:t>
      </w:r>
    </w:p>
    <w:p w14:paraId="08395076"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Responsibilities:</w:t>
      </w:r>
    </w:p>
    <w:p w14:paraId="19D084EE"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Create and execute a joint end-to-end test plan (Joint).</w:t>
      </w:r>
    </w:p>
    <w:p w14:paraId="6F884B91"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Conduct User Acceptance Testing (UAT) and provide sign-off (Aetna).</w:t>
      </w:r>
    </w:p>
    <w:p w14:paraId="5AC7E0DA"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Provide support during all testing activities (CVS).</w:t>
      </w:r>
    </w:p>
    <w:p w14:paraId="4109E9AE" w14:textId="77777777" w:rsidR="008446AB" w:rsidRPr="008446AB" w:rsidRDefault="008446AB" w:rsidP="008446A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Sub-Phase: Coordinated Release &amp; Hypercare</w:t>
      </w:r>
    </w:p>
    <w:p w14:paraId="345693ED"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safely deploy the integrated feature to production with minimal member impact and provide elevated support immediately following the release.</w:t>
      </w:r>
    </w:p>
    <w:p w14:paraId="7875AB29"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Personnel:</w:t>
      </w:r>
      <w:r w:rsidRPr="008446AB">
        <w:rPr>
          <w:rFonts w:ascii="Times New Roman" w:eastAsia="Times New Roman" w:hAnsi="Times New Roman" w:cs="Times New Roman"/>
          <w:kern w:val="0"/>
          <w14:ligatures w14:val="none"/>
        </w:rPr>
        <w:t xml:space="preserve"> Required: Aetna &amp; CVS Engineering, Product, PMO, and Support teams.</w:t>
      </w:r>
    </w:p>
    <w:p w14:paraId="55342959"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Inputs:</w:t>
      </w:r>
    </w:p>
    <w:p w14:paraId="4D231313"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UAT sign-off (Required, Aetna).</w:t>
      </w:r>
    </w:p>
    <w:p w14:paraId="559F8E47"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 joint release plan (Required, Joint).</w:t>
      </w:r>
    </w:p>
    <w:p w14:paraId="6522137B"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Outputs:</w:t>
      </w:r>
    </w:p>
    <w:p w14:paraId="67523FC8"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 xml:space="preserve">The feature </w:t>
      </w:r>
      <w:proofErr w:type="gramStart"/>
      <w:r w:rsidRPr="008446AB">
        <w:rPr>
          <w:rFonts w:ascii="Times New Roman" w:eastAsia="Times New Roman" w:hAnsi="Times New Roman" w:cs="Times New Roman"/>
          <w:kern w:val="0"/>
          <w14:ligatures w14:val="none"/>
        </w:rPr>
        <w:t>live</w:t>
      </w:r>
      <w:proofErr w:type="gramEnd"/>
      <w:r w:rsidRPr="008446AB">
        <w:rPr>
          <w:rFonts w:ascii="Times New Roman" w:eastAsia="Times New Roman" w:hAnsi="Times New Roman" w:cs="Times New Roman"/>
          <w:kern w:val="0"/>
          <w14:ligatures w14:val="none"/>
        </w:rPr>
        <w:t xml:space="preserve"> in production (Required, Joint).</w:t>
      </w:r>
    </w:p>
    <w:p w14:paraId="5965BD49"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A completed Hypercare report (Required, Joint).</w:t>
      </w:r>
    </w:p>
    <w:p w14:paraId="2F1B8D5C" w14:textId="77777777" w:rsidR="008446AB" w:rsidRPr="008446AB" w:rsidRDefault="008446AB" w:rsidP="008446A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Responsibilities:</w:t>
      </w:r>
    </w:p>
    <w:p w14:paraId="4F0AD538"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Create and manage the joint release plan (PMO).</w:t>
      </w:r>
    </w:p>
    <w:p w14:paraId="6DA2942A" w14:textId="77777777" w:rsidR="008446AB" w:rsidRPr="008446AB" w:rsidRDefault="008446AB" w:rsidP="008446A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Provide dedicated "Hypercare" engineering resources for a predefined period post-launch to rapidly address production issues (Joint).</w:t>
      </w:r>
    </w:p>
    <w:p w14:paraId="111B12C3" w14:textId="77777777" w:rsidR="008446AB" w:rsidRPr="008446AB" w:rsidRDefault="008446AB" w:rsidP="00AE5468">
      <w:pPr>
        <w:pStyle w:val="Heading1"/>
        <w:rPr>
          <w:rFonts w:eastAsia="Times New Roman"/>
        </w:rPr>
      </w:pPr>
      <w:bookmarkStart w:id="3" w:name="_Toc205425097"/>
      <w:r w:rsidRPr="008446AB">
        <w:rPr>
          <w:rFonts w:eastAsia="Times New Roman"/>
        </w:rPr>
        <w:t>Section 4: Runtime Technical Protocol</w:t>
      </w:r>
      <w:bookmarkEnd w:id="3"/>
    </w:p>
    <w:p w14:paraId="56AB6DEC"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i/>
          <w:iCs/>
          <w:kern w:val="0"/>
          <w14:ligatures w14:val="none"/>
        </w:rPr>
      </w:pPr>
      <w:r w:rsidRPr="008446AB">
        <w:rPr>
          <w:rFonts w:ascii="Times New Roman" w:eastAsia="Times New Roman" w:hAnsi="Times New Roman" w:cs="Times New Roman"/>
          <w:b/>
          <w:bCs/>
          <w:i/>
          <w:iCs/>
          <w:kern w:val="0"/>
          <w14:ligatures w14:val="none"/>
        </w:rPr>
        <w:t>Description:</w:t>
      </w:r>
      <w:r w:rsidRPr="008446AB">
        <w:rPr>
          <w:rFonts w:ascii="Times New Roman" w:eastAsia="Times New Roman" w:hAnsi="Times New Roman" w:cs="Times New Roman"/>
          <w:i/>
          <w:iCs/>
          <w:kern w:val="0"/>
          <w14:ligatures w14:val="none"/>
        </w:rPr>
        <w:t xml:space="preserve"> This section details the technical contract for all real-time, machine-to-machine interactions.</w:t>
      </w:r>
    </w:p>
    <w:p w14:paraId="09A4E196"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ensure all data exchanges are secure, resilient, auditable, and performant by mandating specific technical standards.</w:t>
      </w:r>
    </w:p>
    <w:p w14:paraId="156EEBB8" w14:textId="77777777" w:rsidR="008446AB" w:rsidRPr="008446AB" w:rsidRDefault="008446AB" w:rsidP="008446A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Transport &amp; Authentication Security:</w:t>
      </w:r>
      <w:r w:rsidRPr="008446AB">
        <w:rPr>
          <w:rFonts w:ascii="Times New Roman" w:eastAsia="Times New Roman" w:hAnsi="Times New Roman" w:cs="Times New Roman"/>
          <w:kern w:val="0"/>
          <w14:ligatures w14:val="none"/>
        </w:rPr>
        <w:t xml:space="preserve"> All server-to-server communication must use Mutual TLS (</w:t>
      </w:r>
      <w:proofErr w:type="spellStart"/>
      <w:r w:rsidRPr="008446AB">
        <w:rPr>
          <w:rFonts w:ascii="Times New Roman" w:eastAsia="Times New Roman" w:hAnsi="Times New Roman" w:cs="Times New Roman"/>
          <w:kern w:val="0"/>
          <w14:ligatures w14:val="none"/>
        </w:rPr>
        <w:t>mTLS</w:t>
      </w:r>
      <w:proofErr w:type="spellEnd"/>
      <w:r w:rsidRPr="008446AB">
        <w:rPr>
          <w:rFonts w:ascii="Times New Roman" w:eastAsia="Times New Roman" w:hAnsi="Times New Roman" w:cs="Times New Roman"/>
          <w:kern w:val="0"/>
          <w14:ligatures w14:val="none"/>
        </w:rPr>
        <w:t>) 1.2 or higher.</w:t>
      </w:r>
    </w:p>
    <w:p w14:paraId="5B55BC79" w14:textId="77777777" w:rsidR="008446AB" w:rsidRPr="008446AB" w:rsidRDefault="008446AB" w:rsidP="008446A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Observability &amp; Distributed Tracing:</w:t>
      </w:r>
      <w:r w:rsidRPr="008446AB">
        <w:rPr>
          <w:rFonts w:ascii="Times New Roman" w:eastAsia="Times New Roman" w:hAnsi="Times New Roman" w:cs="Times New Roman"/>
          <w:kern w:val="0"/>
          <w14:ligatures w14:val="none"/>
        </w:rPr>
        <w:t xml:space="preserve"> All API requests must carry a distributed trace context header (W3C Trace Context). Logs must be structured JSON.</w:t>
      </w:r>
    </w:p>
    <w:p w14:paraId="032C4481" w14:textId="77777777" w:rsidR="008446AB" w:rsidRPr="008446AB" w:rsidRDefault="008446AB" w:rsidP="008446A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Rate Limiting:</w:t>
      </w:r>
      <w:r w:rsidRPr="008446AB">
        <w:rPr>
          <w:rFonts w:ascii="Times New Roman" w:eastAsia="Times New Roman" w:hAnsi="Times New Roman" w:cs="Times New Roman"/>
          <w:kern w:val="0"/>
          <w14:ligatures w14:val="none"/>
        </w:rPr>
        <w:t xml:space="preserve"> The Provider will enforce rate limits and provide real-time feedback via standard HTTP headers. The Aetna client must implement a backoff strategy.</w:t>
      </w:r>
    </w:p>
    <w:p w14:paraId="544CB478" w14:textId="77777777" w:rsidR="008446AB" w:rsidRPr="008446AB" w:rsidRDefault="008446AB" w:rsidP="008446A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Error Handling:</w:t>
      </w:r>
      <w:r w:rsidRPr="008446AB">
        <w:rPr>
          <w:rFonts w:ascii="Times New Roman" w:eastAsia="Times New Roman" w:hAnsi="Times New Roman" w:cs="Times New Roman"/>
          <w:kern w:val="0"/>
          <w14:ligatures w14:val="none"/>
        </w:rPr>
        <w:t xml:space="preserve"> All 4xx and 5xx error responses must contain a standardized, machine-readable JSON body.</w:t>
      </w:r>
    </w:p>
    <w:p w14:paraId="1DB454DC" w14:textId="77777777" w:rsidR="008446AB" w:rsidRPr="008446AB" w:rsidRDefault="008446AB" w:rsidP="008446A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Pagination:</w:t>
      </w:r>
      <w:r w:rsidRPr="008446AB">
        <w:rPr>
          <w:rFonts w:ascii="Times New Roman" w:eastAsia="Times New Roman" w:hAnsi="Times New Roman" w:cs="Times New Roman"/>
          <w:kern w:val="0"/>
          <w14:ligatures w14:val="none"/>
        </w:rPr>
        <w:t xml:space="preserve"> All API endpoints returning a collection must use cursor-based pagination.</w:t>
      </w:r>
    </w:p>
    <w:p w14:paraId="2A2850AB" w14:textId="77777777" w:rsidR="008446AB" w:rsidRPr="008446AB" w:rsidRDefault="008446AB" w:rsidP="008446A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Idempotency for Write Operations:</w:t>
      </w:r>
      <w:r w:rsidRPr="008446AB">
        <w:rPr>
          <w:rFonts w:ascii="Times New Roman" w:eastAsia="Times New Roman" w:hAnsi="Times New Roman" w:cs="Times New Roman"/>
          <w:kern w:val="0"/>
          <w14:ligatures w14:val="none"/>
        </w:rPr>
        <w:t xml:space="preserve"> All state-changing requests (POST, PUT, DELETE) must include an </w:t>
      </w:r>
      <w:r w:rsidRPr="008446AB">
        <w:rPr>
          <w:rFonts w:ascii="Courier New" w:eastAsia="Times New Roman" w:hAnsi="Courier New" w:cs="Courier New"/>
          <w:kern w:val="0"/>
          <w:sz w:val="20"/>
          <w:szCs w:val="20"/>
          <w14:ligatures w14:val="none"/>
        </w:rPr>
        <w:t>Idempotency-Key</w:t>
      </w:r>
      <w:r w:rsidRPr="008446AB">
        <w:rPr>
          <w:rFonts w:ascii="Times New Roman" w:eastAsia="Times New Roman" w:hAnsi="Times New Roman" w:cs="Times New Roman"/>
          <w:kern w:val="0"/>
          <w14:ligatures w14:val="none"/>
        </w:rPr>
        <w:t xml:space="preserve"> header.</w:t>
      </w:r>
    </w:p>
    <w:p w14:paraId="67AB744E" w14:textId="77777777" w:rsidR="008446AB" w:rsidRPr="008446AB" w:rsidRDefault="008446AB" w:rsidP="008446A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High-Reliability Webhooks:</w:t>
      </w:r>
      <w:r w:rsidRPr="008446AB">
        <w:rPr>
          <w:rFonts w:ascii="Times New Roman" w:eastAsia="Times New Roman" w:hAnsi="Times New Roman" w:cs="Times New Roman"/>
          <w:kern w:val="0"/>
          <w14:ligatures w14:val="none"/>
        </w:rPr>
        <w:t xml:space="preserve"> Webhooks will be signed using HMAC-SHA256. The Provider guarantees at-least-once delivery; the Consumer must ensure idempotent processing.</w:t>
      </w:r>
    </w:p>
    <w:p w14:paraId="1836B335" w14:textId="77777777" w:rsidR="008E758C" w:rsidRDefault="008E758C" w:rsidP="008E758C">
      <w:pPr>
        <w:pStyle w:val="Heading1"/>
      </w:pPr>
      <w:bookmarkStart w:id="4" w:name="_Toc205425098"/>
      <w:r>
        <w:t>Section 5: Service Evolution &amp; Versioning</w:t>
      </w:r>
      <w:bookmarkEnd w:id="4"/>
    </w:p>
    <w:p w14:paraId="0585C343" w14:textId="77777777" w:rsidR="008E758C" w:rsidRPr="008E758C" w:rsidRDefault="008E758C" w:rsidP="007A73DC">
      <w:pPr>
        <w:pStyle w:val="NormalWeb"/>
        <w:rPr>
          <w:i/>
          <w:iCs/>
        </w:rPr>
      </w:pPr>
      <w:r w:rsidRPr="008E758C">
        <w:rPr>
          <w:b/>
          <w:bCs/>
          <w:i/>
          <w:iCs/>
        </w:rPr>
        <w:t>Description:</w:t>
      </w:r>
      <w:r w:rsidRPr="008E758C">
        <w:rPr>
          <w:i/>
          <w:iCs/>
        </w:rPr>
        <w:t xml:space="preserve"> This section provides a collaborative framework for managing the service lifecycle, including both breaking and non-breaking changes. It defines the specific obligations of both the Service Provider (CVS) and the Service Consumer (Aetna) to ensure that service evolution is predictable, transparent, and does not introduce undue risk to the Aetna member experience.</w:t>
      </w:r>
    </w:p>
    <w:p w14:paraId="77A08DFE" w14:textId="77777777" w:rsidR="008E758C" w:rsidRDefault="008E758C" w:rsidP="008E758C">
      <w:pPr>
        <w:pStyle w:val="NormalWeb"/>
      </w:pPr>
      <w:r>
        <w:rPr>
          <w:b/>
          <w:bCs/>
        </w:rPr>
        <w:t>Goal:</w:t>
      </w:r>
      <w:r>
        <w:t xml:space="preserve"> To enable continuous improvement in the CVS Caremark services while affording the Aetna consumer maximum predictability and lead time to adapt, protecting shared business objectives from unplanned disruption.</w:t>
      </w:r>
    </w:p>
    <w:p w14:paraId="6574535D" w14:textId="77777777" w:rsidR="008E758C" w:rsidRDefault="008E758C" w:rsidP="008E758C">
      <w:pPr>
        <w:pStyle w:val="Heading2"/>
      </w:pPr>
      <w:r>
        <w:t>5.1. Versioning Philosophy &amp; Scheme</w:t>
      </w:r>
    </w:p>
    <w:p w14:paraId="3AAF0DFF" w14:textId="77777777" w:rsidR="008E758C" w:rsidRDefault="008E758C" w:rsidP="008E758C">
      <w:pPr>
        <w:pStyle w:val="NormalWeb"/>
        <w:numPr>
          <w:ilvl w:val="0"/>
          <w:numId w:val="24"/>
        </w:numPr>
      </w:pPr>
      <w:r>
        <w:rPr>
          <w:b/>
          <w:bCs/>
        </w:rPr>
        <w:t>Obligation (CVS):</w:t>
      </w:r>
      <w:r>
        <w:t xml:space="preserve"> All services provided under this framework must strictly adhere to the Semantic Versioning (</w:t>
      </w:r>
      <w:proofErr w:type="gramStart"/>
      <w:r>
        <w:t>MAJOR.MINOR.PATCH</w:t>
      </w:r>
      <w:proofErr w:type="gramEnd"/>
      <w:r>
        <w:t>) specification. The versioning contract applies to the API surface (endpoints, methods, parameters), data schemas, and all documented functional behavior.</w:t>
      </w:r>
    </w:p>
    <w:p w14:paraId="68B8C919" w14:textId="77777777" w:rsidR="008E758C" w:rsidRDefault="008E758C" w:rsidP="008E758C">
      <w:pPr>
        <w:pStyle w:val="NormalWeb"/>
        <w:numPr>
          <w:ilvl w:val="0"/>
          <w:numId w:val="24"/>
        </w:numPr>
      </w:pPr>
      <w:r>
        <w:rPr>
          <w:b/>
          <w:bCs/>
        </w:rPr>
        <w:t>Obligation (Aetna):</w:t>
      </w:r>
      <w:r>
        <w:t xml:space="preserve"> Aetna is responsible for tracking the version of the service they are integrated with and for planning and executing the necessary work to upgrade to new versions in accordance with the timelines and processes defined herein.</w:t>
      </w:r>
    </w:p>
    <w:p w14:paraId="1407BFA4" w14:textId="77777777" w:rsidR="008E758C" w:rsidRDefault="008E758C" w:rsidP="008E758C">
      <w:pPr>
        <w:pStyle w:val="Heading2"/>
      </w:pPr>
      <w:r>
        <w:t>5.2. Process for a Breaking (MAJOR) Version Change</w:t>
      </w:r>
    </w:p>
    <w:p w14:paraId="084FBE37" w14:textId="77777777" w:rsidR="008E758C" w:rsidRDefault="008E758C" w:rsidP="008E758C">
      <w:pPr>
        <w:pStyle w:val="NormalWeb"/>
      </w:pPr>
      <w:r>
        <w:t xml:space="preserve">A MAJOR version change represents a breaking change that is not </w:t>
      </w:r>
      <w:proofErr w:type="gramStart"/>
      <w:r>
        <w:t>backward-compatible</w:t>
      </w:r>
      <w:proofErr w:type="gramEnd"/>
      <w:r>
        <w:t>. This process is managed as a formal joint program under the Feature Integration Lifecycle Framework (Section 3).</w:t>
      </w:r>
    </w:p>
    <w:tbl>
      <w:tblPr>
        <w:tblW w:w="5000" w:type="pct"/>
        <w:tblLook w:val="04A0" w:firstRow="1" w:lastRow="0" w:firstColumn="1" w:lastColumn="0" w:noHBand="0" w:noVBand="1"/>
      </w:tblPr>
      <w:tblGrid>
        <w:gridCol w:w="1096"/>
        <w:gridCol w:w="3262"/>
        <w:gridCol w:w="4982"/>
      </w:tblGrid>
      <w:tr w:rsidR="008E758C" w:rsidRPr="008E758C" w14:paraId="1081E3EF" w14:textId="77777777" w:rsidTr="008E758C">
        <w:trPr>
          <w:trHeight w:val="300"/>
        </w:trPr>
        <w:tc>
          <w:tcPr>
            <w:tcW w:w="587" w:type="pct"/>
            <w:tcBorders>
              <w:top w:val="single" w:sz="8" w:space="0" w:color="auto"/>
              <w:left w:val="single" w:sz="8" w:space="0" w:color="auto"/>
              <w:bottom w:val="single" w:sz="4" w:space="0" w:color="auto"/>
              <w:right w:val="double" w:sz="6" w:space="0" w:color="auto"/>
            </w:tcBorders>
            <w:shd w:val="clear" w:color="000000" w:fill="000000"/>
            <w:vAlign w:val="center"/>
            <w:hideMark/>
          </w:tcPr>
          <w:p w14:paraId="6D945381" w14:textId="77777777" w:rsidR="008E758C" w:rsidRPr="008E758C" w:rsidRDefault="008E758C" w:rsidP="008E758C">
            <w:pPr>
              <w:spacing w:after="0" w:line="240" w:lineRule="auto"/>
              <w:rPr>
                <w:rFonts w:ascii="Arial" w:eastAsia="Times New Roman" w:hAnsi="Arial" w:cs="Arial"/>
                <w:b/>
                <w:bCs/>
                <w:color w:val="FFFFFF"/>
                <w:kern w:val="0"/>
                <w:sz w:val="20"/>
                <w:szCs w:val="20"/>
                <w14:ligatures w14:val="none"/>
              </w:rPr>
            </w:pPr>
            <w:r w:rsidRPr="008E758C">
              <w:rPr>
                <w:rFonts w:ascii="Arial" w:eastAsia="Times New Roman" w:hAnsi="Arial" w:cs="Arial"/>
                <w:b/>
                <w:bCs/>
                <w:color w:val="FFFFFF"/>
                <w:kern w:val="0"/>
                <w:sz w:val="20"/>
                <w:szCs w:val="20"/>
                <w14:ligatures w14:val="none"/>
              </w:rPr>
              <w:t>Timeline</w:t>
            </w:r>
          </w:p>
        </w:tc>
        <w:tc>
          <w:tcPr>
            <w:tcW w:w="1746" w:type="pct"/>
            <w:tcBorders>
              <w:top w:val="single" w:sz="8" w:space="0" w:color="auto"/>
              <w:left w:val="nil"/>
              <w:bottom w:val="single" w:sz="4" w:space="0" w:color="auto"/>
              <w:right w:val="single" w:sz="4" w:space="0" w:color="auto"/>
            </w:tcBorders>
            <w:shd w:val="clear" w:color="000000" w:fill="000000"/>
            <w:vAlign w:val="center"/>
            <w:hideMark/>
          </w:tcPr>
          <w:p w14:paraId="6E546C8E" w14:textId="77777777" w:rsidR="008E758C" w:rsidRPr="008E758C" w:rsidRDefault="008E758C" w:rsidP="008E758C">
            <w:pPr>
              <w:spacing w:after="0" w:line="240" w:lineRule="auto"/>
              <w:rPr>
                <w:rFonts w:ascii="Arial" w:eastAsia="Times New Roman" w:hAnsi="Arial" w:cs="Arial"/>
                <w:b/>
                <w:bCs/>
                <w:color w:val="FFFFFF"/>
                <w:kern w:val="0"/>
                <w:sz w:val="20"/>
                <w:szCs w:val="20"/>
                <w14:ligatures w14:val="none"/>
              </w:rPr>
            </w:pPr>
            <w:r w:rsidRPr="008E758C">
              <w:rPr>
                <w:rFonts w:ascii="Arial" w:eastAsia="Times New Roman" w:hAnsi="Arial" w:cs="Arial"/>
                <w:b/>
                <w:bCs/>
                <w:color w:val="FFFFFF"/>
                <w:kern w:val="0"/>
                <w:sz w:val="20"/>
                <w:szCs w:val="20"/>
                <w14:ligatures w14:val="none"/>
              </w:rPr>
              <w:t>CVS Responsibility</w:t>
            </w:r>
          </w:p>
        </w:tc>
        <w:tc>
          <w:tcPr>
            <w:tcW w:w="2667" w:type="pct"/>
            <w:tcBorders>
              <w:top w:val="single" w:sz="8" w:space="0" w:color="auto"/>
              <w:left w:val="nil"/>
              <w:bottom w:val="single" w:sz="4" w:space="0" w:color="auto"/>
              <w:right w:val="single" w:sz="8" w:space="0" w:color="auto"/>
            </w:tcBorders>
            <w:shd w:val="clear" w:color="000000" w:fill="000000"/>
            <w:vAlign w:val="center"/>
            <w:hideMark/>
          </w:tcPr>
          <w:p w14:paraId="37D5649E" w14:textId="77777777" w:rsidR="008E758C" w:rsidRPr="008E758C" w:rsidRDefault="008E758C" w:rsidP="008E758C">
            <w:pPr>
              <w:spacing w:after="0" w:line="240" w:lineRule="auto"/>
              <w:rPr>
                <w:rFonts w:ascii="Arial" w:eastAsia="Times New Roman" w:hAnsi="Arial" w:cs="Arial"/>
                <w:b/>
                <w:bCs/>
                <w:color w:val="FFFFFF"/>
                <w:kern w:val="0"/>
                <w:sz w:val="20"/>
                <w:szCs w:val="20"/>
                <w14:ligatures w14:val="none"/>
              </w:rPr>
            </w:pPr>
            <w:r w:rsidRPr="008E758C">
              <w:rPr>
                <w:rFonts w:ascii="Arial" w:eastAsia="Times New Roman" w:hAnsi="Arial" w:cs="Arial"/>
                <w:b/>
                <w:bCs/>
                <w:color w:val="FFFFFF"/>
                <w:kern w:val="0"/>
                <w:sz w:val="20"/>
                <w:szCs w:val="20"/>
                <w14:ligatures w14:val="none"/>
              </w:rPr>
              <w:t>Aetna Responsibility</w:t>
            </w:r>
          </w:p>
        </w:tc>
      </w:tr>
      <w:tr w:rsidR="008E758C" w:rsidRPr="008E758C" w14:paraId="188F6D4E" w14:textId="77777777" w:rsidTr="008E758C">
        <w:trPr>
          <w:trHeight w:val="510"/>
        </w:trPr>
        <w:tc>
          <w:tcPr>
            <w:tcW w:w="587" w:type="pct"/>
            <w:tcBorders>
              <w:top w:val="nil"/>
              <w:left w:val="single" w:sz="8" w:space="0" w:color="auto"/>
              <w:bottom w:val="single" w:sz="4" w:space="0" w:color="auto"/>
              <w:right w:val="double" w:sz="6" w:space="0" w:color="auto"/>
            </w:tcBorders>
            <w:vAlign w:val="center"/>
            <w:hideMark/>
          </w:tcPr>
          <w:p w14:paraId="6211F5D4" w14:textId="77777777" w:rsidR="008E758C" w:rsidRPr="008E758C" w:rsidRDefault="008E758C" w:rsidP="008E758C">
            <w:pPr>
              <w:spacing w:after="0" w:line="240" w:lineRule="auto"/>
              <w:rPr>
                <w:rFonts w:ascii="Arial" w:eastAsia="Times New Roman" w:hAnsi="Arial" w:cs="Arial"/>
                <w:b/>
                <w:bCs/>
                <w:color w:val="000000"/>
                <w:kern w:val="0"/>
                <w:sz w:val="20"/>
                <w:szCs w:val="20"/>
                <w14:ligatures w14:val="none"/>
              </w:rPr>
            </w:pPr>
            <w:r w:rsidRPr="008E758C">
              <w:rPr>
                <w:rFonts w:ascii="Arial" w:eastAsia="Times New Roman" w:hAnsi="Arial" w:cs="Arial"/>
                <w:b/>
                <w:bCs/>
                <w:color w:val="000000"/>
                <w:kern w:val="0"/>
                <w:sz w:val="20"/>
                <w:szCs w:val="20"/>
                <w14:ligatures w14:val="none"/>
              </w:rPr>
              <w:t>T-minus 7 Months</w:t>
            </w:r>
          </w:p>
        </w:tc>
        <w:tc>
          <w:tcPr>
            <w:tcW w:w="1746" w:type="pct"/>
            <w:tcBorders>
              <w:top w:val="nil"/>
              <w:left w:val="nil"/>
              <w:bottom w:val="single" w:sz="4" w:space="0" w:color="auto"/>
              <w:right w:val="single" w:sz="4" w:space="0" w:color="auto"/>
            </w:tcBorders>
            <w:vAlign w:val="center"/>
            <w:hideMark/>
          </w:tcPr>
          <w:p w14:paraId="6610B415"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 xml:space="preserve">Present the proposed design, draft </w:t>
            </w:r>
            <w:proofErr w:type="gramStart"/>
            <w:r w:rsidRPr="008E758C">
              <w:rPr>
                <w:rFonts w:ascii="Arial" w:eastAsia="Times New Roman" w:hAnsi="Arial" w:cs="Arial"/>
                <w:color w:val="000000"/>
                <w:kern w:val="0"/>
                <w:sz w:val="20"/>
                <w:szCs w:val="20"/>
                <w14:ligatures w14:val="none"/>
              </w:rPr>
              <w:t>specification</w:t>
            </w:r>
            <w:proofErr w:type="gramEnd"/>
            <w:r w:rsidRPr="008E758C">
              <w:rPr>
                <w:rFonts w:ascii="Arial" w:eastAsia="Times New Roman" w:hAnsi="Arial" w:cs="Arial"/>
                <w:color w:val="000000"/>
                <w:kern w:val="0"/>
                <w:sz w:val="20"/>
                <w:szCs w:val="20"/>
                <w14:ligatures w14:val="none"/>
              </w:rPr>
              <w:t>, and business case for the v2 service.</w:t>
            </w:r>
          </w:p>
        </w:tc>
        <w:tc>
          <w:tcPr>
            <w:tcW w:w="2667" w:type="pct"/>
            <w:tcBorders>
              <w:top w:val="nil"/>
              <w:left w:val="nil"/>
              <w:bottom w:val="single" w:sz="4" w:space="0" w:color="auto"/>
              <w:right w:val="single" w:sz="8" w:space="0" w:color="auto"/>
            </w:tcBorders>
            <w:vAlign w:val="center"/>
            <w:hideMark/>
          </w:tcPr>
          <w:p w14:paraId="29D98350"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Provide timely and substantive feedback on the proposed v2 design, highlighting potential integration challenges, risks, or impacts.</w:t>
            </w:r>
          </w:p>
        </w:tc>
      </w:tr>
      <w:tr w:rsidR="008E758C" w:rsidRPr="008E758C" w14:paraId="05FE3E57" w14:textId="77777777" w:rsidTr="008E758C">
        <w:trPr>
          <w:trHeight w:val="765"/>
        </w:trPr>
        <w:tc>
          <w:tcPr>
            <w:tcW w:w="587" w:type="pct"/>
            <w:tcBorders>
              <w:top w:val="nil"/>
              <w:left w:val="single" w:sz="8" w:space="0" w:color="auto"/>
              <w:bottom w:val="single" w:sz="4" w:space="0" w:color="auto"/>
              <w:right w:val="double" w:sz="6" w:space="0" w:color="auto"/>
            </w:tcBorders>
            <w:vAlign w:val="center"/>
            <w:hideMark/>
          </w:tcPr>
          <w:p w14:paraId="516109A0" w14:textId="77777777" w:rsidR="008E758C" w:rsidRPr="008E758C" w:rsidRDefault="008E758C" w:rsidP="008E758C">
            <w:pPr>
              <w:spacing w:after="0" w:line="240" w:lineRule="auto"/>
              <w:rPr>
                <w:rFonts w:ascii="Arial" w:eastAsia="Times New Roman" w:hAnsi="Arial" w:cs="Arial"/>
                <w:b/>
                <w:bCs/>
                <w:color w:val="000000"/>
                <w:kern w:val="0"/>
                <w:sz w:val="20"/>
                <w:szCs w:val="20"/>
                <w14:ligatures w14:val="none"/>
              </w:rPr>
            </w:pPr>
            <w:r w:rsidRPr="008E758C">
              <w:rPr>
                <w:rFonts w:ascii="Arial" w:eastAsia="Times New Roman" w:hAnsi="Arial" w:cs="Arial"/>
                <w:b/>
                <w:bCs/>
                <w:color w:val="000000"/>
                <w:kern w:val="0"/>
                <w:sz w:val="20"/>
                <w:szCs w:val="20"/>
                <w14:ligatures w14:val="none"/>
              </w:rPr>
              <w:t>T-minus 6 Months</w:t>
            </w:r>
          </w:p>
        </w:tc>
        <w:tc>
          <w:tcPr>
            <w:tcW w:w="1746" w:type="pct"/>
            <w:tcBorders>
              <w:top w:val="nil"/>
              <w:left w:val="nil"/>
              <w:bottom w:val="single" w:sz="4" w:space="0" w:color="auto"/>
              <w:right w:val="single" w:sz="4" w:space="0" w:color="auto"/>
            </w:tcBorders>
            <w:vAlign w:val="center"/>
            <w:hideMark/>
          </w:tcPr>
          <w:p w14:paraId="12BB131F"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Make the formal deprecation announcement for v1. Publish the detailed v2 specification and a comprehensive migration guide.</w:t>
            </w:r>
          </w:p>
        </w:tc>
        <w:tc>
          <w:tcPr>
            <w:tcW w:w="2667" w:type="pct"/>
            <w:tcBorders>
              <w:top w:val="nil"/>
              <w:left w:val="nil"/>
              <w:bottom w:val="single" w:sz="4" w:space="0" w:color="auto"/>
              <w:right w:val="single" w:sz="8" w:space="0" w:color="auto"/>
            </w:tcBorders>
            <w:vAlign w:val="center"/>
            <w:hideMark/>
          </w:tcPr>
          <w:p w14:paraId="2DD9577E"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proofErr w:type="gramStart"/>
            <w:r w:rsidRPr="008E758C">
              <w:rPr>
                <w:rFonts w:ascii="Arial" w:eastAsia="Times New Roman" w:hAnsi="Arial" w:cs="Arial"/>
                <w:color w:val="000000"/>
                <w:kern w:val="0"/>
                <w:sz w:val="20"/>
                <w:szCs w:val="20"/>
                <w14:ligatures w14:val="none"/>
              </w:rPr>
              <w:t>Formally</w:t>
            </w:r>
            <w:proofErr w:type="gramEnd"/>
            <w:r w:rsidRPr="008E758C">
              <w:rPr>
                <w:rFonts w:ascii="Arial" w:eastAsia="Times New Roman" w:hAnsi="Arial" w:cs="Arial"/>
                <w:color w:val="000000"/>
                <w:kern w:val="0"/>
                <w:sz w:val="20"/>
                <w:szCs w:val="20"/>
                <w14:ligatures w14:val="none"/>
              </w:rPr>
              <w:t xml:space="preserve"> acknowledge receipt of the announcement and begin internal discovery and planning for the migration project.</w:t>
            </w:r>
          </w:p>
        </w:tc>
      </w:tr>
      <w:tr w:rsidR="008E758C" w:rsidRPr="008E758C" w14:paraId="50619C51" w14:textId="77777777" w:rsidTr="008E758C">
        <w:trPr>
          <w:trHeight w:val="510"/>
        </w:trPr>
        <w:tc>
          <w:tcPr>
            <w:tcW w:w="587" w:type="pct"/>
            <w:tcBorders>
              <w:top w:val="nil"/>
              <w:left w:val="single" w:sz="8" w:space="0" w:color="auto"/>
              <w:bottom w:val="single" w:sz="4" w:space="0" w:color="auto"/>
              <w:right w:val="double" w:sz="6" w:space="0" w:color="auto"/>
            </w:tcBorders>
            <w:vAlign w:val="center"/>
            <w:hideMark/>
          </w:tcPr>
          <w:p w14:paraId="05AA409D" w14:textId="77777777" w:rsidR="008E758C" w:rsidRPr="008E758C" w:rsidRDefault="008E758C" w:rsidP="008E758C">
            <w:pPr>
              <w:spacing w:after="0" w:line="240" w:lineRule="auto"/>
              <w:rPr>
                <w:rFonts w:ascii="Arial" w:eastAsia="Times New Roman" w:hAnsi="Arial" w:cs="Arial"/>
                <w:b/>
                <w:bCs/>
                <w:color w:val="000000"/>
                <w:kern w:val="0"/>
                <w:sz w:val="20"/>
                <w:szCs w:val="20"/>
                <w14:ligatures w14:val="none"/>
              </w:rPr>
            </w:pPr>
            <w:r w:rsidRPr="008E758C">
              <w:rPr>
                <w:rFonts w:ascii="Arial" w:eastAsia="Times New Roman" w:hAnsi="Arial" w:cs="Arial"/>
                <w:b/>
                <w:bCs/>
                <w:color w:val="000000"/>
                <w:kern w:val="0"/>
                <w:sz w:val="20"/>
                <w:szCs w:val="20"/>
                <w14:ligatures w14:val="none"/>
              </w:rPr>
              <w:t>T-minus 3 Months</w:t>
            </w:r>
          </w:p>
        </w:tc>
        <w:tc>
          <w:tcPr>
            <w:tcW w:w="1746" w:type="pct"/>
            <w:tcBorders>
              <w:top w:val="nil"/>
              <w:left w:val="nil"/>
              <w:bottom w:val="single" w:sz="4" w:space="0" w:color="auto"/>
              <w:right w:val="single" w:sz="4" w:space="0" w:color="auto"/>
            </w:tcBorders>
            <w:vAlign w:val="center"/>
            <w:hideMark/>
          </w:tcPr>
          <w:p w14:paraId="6F7D7291"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Deploy the v2 service to the Sandbox environment for joint integration testing.</w:t>
            </w:r>
          </w:p>
        </w:tc>
        <w:tc>
          <w:tcPr>
            <w:tcW w:w="2667" w:type="pct"/>
            <w:tcBorders>
              <w:top w:val="nil"/>
              <w:left w:val="nil"/>
              <w:bottom w:val="single" w:sz="4" w:space="0" w:color="auto"/>
              <w:right w:val="single" w:sz="8" w:space="0" w:color="auto"/>
            </w:tcBorders>
            <w:vAlign w:val="center"/>
            <w:hideMark/>
          </w:tcPr>
          <w:p w14:paraId="3AA112F9"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Begin development and integration testing against the v2 service in the Sandbox. Report any defects or issues.</w:t>
            </w:r>
          </w:p>
        </w:tc>
      </w:tr>
      <w:tr w:rsidR="008E758C" w:rsidRPr="008E758C" w14:paraId="1615DEAB" w14:textId="77777777" w:rsidTr="008E758C">
        <w:trPr>
          <w:trHeight w:val="765"/>
        </w:trPr>
        <w:tc>
          <w:tcPr>
            <w:tcW w:w="587" w:type="pct"/>
            <w:tcBorders>
              <w:top w:val="nil"/>
              <w:left w:val="single" w:sz="8" w:space="0" w:color="auto"/>
              <w:bottom w:val="single" w:sz="4" w:space="0" w:color="auto"/>
              <w:right w:val="double" w:sz="6" w:space="0" w:color="auto"/>
            </w:tcBorders>
            <w:vAlign w:val="center"/>
            <w:hideMark/>
          </w:tcPr>
          <w:p w14:paraId="4BB6C2AA" w14:textId="77777777" w:rsidR="008E758C" w:rsidRPr="008E758C" w:rsidRDefault="008E758C" w:rsidP="008E758C">
            <w:pPr>
              <w:spacing w:after="0" w:line="240" w:lineRule="auto"/>
              <w:rPr>
                <w:rFonts w:ascii="Arial" w:eastAsia="Times New Roman" w:hAnsi="Arial" w:cs="Arial"/>
                <w:b/>
                <w:bCs/>
                <w:color w:val="000000"/>
                <w:kern w:val="0"/>
                <w:sz w:val="20"/>
                <w:szCs w:val="20"/>
                <w14:ligatures w14:val="none"/>
              </w:rPr>
            </w:pPr>
            <w:r w:rsidRPr="008E758C">
              <w:rPr>
                <w:rFonts w:ascii="Arial" w:eastAsia="Times New Roman" w:hAnsi="Arial" w:cs="Arial"/>
                <w:b/>
                <w:bCs/>
                <w:color w:val="000000"/>
                <w:kern w:val="0"/>
                <w:sz w:val="20"/>
                <w:szCs w:val="20"/>
                <w14:ligatures w14:val="none"/>
              </w:rPr>
              <w:t>T-minus 1 Month</w:t>
            </w:r>
          </w:p>
        </w:tc>
        <w:tc>
          <w:tcPr>
            <w:tcW w:w="1746" w:type="pct"/>
            <w:tcBorders>
              <w:top w:val="nil"/>
              <w:left w:val="nil"/>
              <w:bottom w:val="single" w:sz="4" w:space="0" w:color="auto"/>
              <w:right w:val="single" w:sz="4" w:space="0" w:color="auto"/>
            </w:tcBorders>
            <w:vAlign w:val="center"/>
            <w:hideMark/>
          </w:tcPr>
          <w:p w14:paraId="3D56DB89"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Deploy the v2 service to Production, running in parallel with v1. Provide a shared metrics dashboard to track traffic and adoption.</w:t>
            </w:r>
          </w:p>
        </w:tc>
        <w:tc>
          <w:tcPr>
            <w:tcW w:w="2667" w:type="pct"/>
            <w:tcBorders>
              <w:top w:val="nil"/>
              <w:left w:val="nil"/>
              <w:bottom w:val="single" w:sz="4" w:space="0" w:color="auto"/>
              <w:right w:val="single" w:sz="8" w:space="0" w:color="auto"/>
            </w:tcBorders>
            <w:vAlign w:val="center"/>
            <w:hideMark/>
          </w:tcPr>
          <w:p w14:paraId="4830E033"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Complete all necessary development and testing for the migration and prepare for a phased rollout to production traffic.</w:t>
            </w:r>
          </w:p>
        </w:tc>
      </w:tr>
      <w:tr w:rsidR="008E758C" w:rsidRPr="008E758C" w14:paraId="59EA08EA" w14:textId="77777777" w:rsidTr="008E758C">
        <w:trPr>
          <w:trHeight w:val="510"/>
        </w:trPr>
        <w:tc>
          <w:tcPr>
            <w:tcW w:w="587" w:type="pct"/>
            <w:tcBorders>
              <w:top w:val="nil"/>
              <w:left w:val="single" w:sz="8" w:space="0" w:color="auto"/>
              <w:bottom w:val="single" w:sz="4" w:space="0" w:color="auto"/>
              <w:right w:val="double" w:sz="6" w:space="0" w:color="auto"/>
            </w:tcBorders>
            <w:vAlign w:val="center"/>
            <w:hideMark/>
          </w:tcPr>
          <w:p w14:paraId="600C0D4D" w14:textId="77777777" w:rsidR="008E758C" w:rsidRPr="008E758C" w:rsidRDefault="008E758C" w:rsidP="008E758C">
            <w:pPr>
              <w:spacing w:after="0" w:line="240" w:lineRule="auto"/>
              <w:rPr>
                <w:rFonts w:ascii="Arial" w:eastAsia="Times New Roman" w:hAnsi="Arial" w:cs="Arial"/>
                <w:b/>
                <w:bCs/>
                <w:color w:val="000000"/>
                <w:kern w:val="0"/>
                <w:sz w:val="20"/>
                <w:szCs w:val="20"/>
                <w14:ligatures w14:val="none"/>
              </w:rPr>
            </w:pPr>
            <w:r w:rsidRPr="008E758C">
              <w:rPr>
                <w:rFonts w:ascii="Arial" w:eastAsia="Times New Roman" w:hAnsi="Arial" w:cs="Arial"/>
                <w:b/>
                <w:bCs/>
                <w:color w:val="000000"/>
                <w:kern w:val="0"/>
                <w:sz w:val="20"/>
                <w:szCs w:val="20"/>
                <w14:ligatures w14:val="none"/>
              </w:rPr>
              <w:t>Launch Date</w:t>
            </w:r>
          </w:p>
        </w:tc>
        <w:tc>
          <w:tcPr>
            <w:tcW w:w="1746" w:type="pct"/>
            <w:tcBorders>
              <w:top w:val="nil"/>
              <w:left w:val="nil"/>
              <w:bottom w:val="single" w:sz="4" w:space="0" w:color="auto"/>
              <w:right w:val="single" w:sz="4" w:space="0" w:color="auto"/>
            </w:tcBorders>
            <w:vAlign w:val="center"/>
            <w:hideMark/>
          </w:tcPr>
          <w:p w14:paraId="4967323E"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Ensure the v2 service is stable and performant under full production load.</w:t>
            </w:r>
          </w:p>
        </w:tc>
        <w:tc>
          <w:tcPr>
            <w:tcW w:w="2667" w:type="pct"/>
            <w:tcBorders>
              <w:top w:val="nil"/>
              <w:left w:val="nil"/>
              <w:bottom w:val="single" w:sz="4" w:space="0" w:color="auto"/>
              <w:right w:val="single" w:sz="8" w:space="0" w:color="auto"/>
            </w:tcBorders>
            <w:vAlign w:val="center"/>
            <w:hideMark/>
          </w:tcPr>
          <w:p w14:paraId="16FF4440"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Complete the full migration of all production traffic from the v1 service to the v2 service by the agreed-upon Launch Date.</w:t>
            </w:r>
          </w:p>
        </w:tc>
      </w:tr>
      <w:tr w:rsidR="008E758C" w:rsidRPr="008E758C" w14:paraId="578C9BCF" w14:textId="77777777" w:rsidTr="008E758C">
        <w:trPr>
          <w:trHeight w:val="525"/>
        </w:trPr>
        <w:tc>
          <w:tcPr>
            <w:tcW w:w="587" w:type="pct"/>
            <w:tcBorders>
              <w:top w:val="nil"/>
              <w:left w:val="single" w:sz="8" w:space="0" w:color="auto"/>
              <w:bottom w:val="single" w:sz="8" w:space="0" w:color="auto"/>
              <w:right w:val="double" w:sz="6" w:space="0" w:color="auto"/>
            </w:tcBorders>
            <w:vAlign w:val="center"/>
            <w:hideMark/>
          </w:tcPr>
          <w:p w14:paraId="0264E5A8" w14:textId="77777777" w:rsidR="008E758C" w:rsidRPr="008E758C" w:rsidRDefault="008E758C" w:rsidP="008E758C">
            <w:pPr>
              <w:spacing w:after="0" w:line="240" w:lineRule="auto"/>
              <w:rPr>
                <w:rFonts w:ascii="Arial" w:eastAsia="Times New Roman" w:hAnsi="Arial" w:cs="Arial"/>
                <w:b/>
                <w:bCs/>
                <w:color w:val="000000"/>
                <w:kern w:val="0"/>
                <w:sz w:val="20"/>
                <w:szCs w:val="20"/>
                <w14:ligatures w14:val="none"/>
              </w:rPr>
            </w:pPr>
            <w:r w:rsidRPr="008E758C">
              <w:rPr>
                <w:rFonts w:ascii="Arial" w:eastAsia="Times New Roman" w:hAnsi="Arial" w:cs="Arial"/>
                <w:b/>
                <w:bCs/>
                <w:color w:val="000000"/>
                <w:kern w:val="0"/>
                <w:sz w:val="20"/>
                <w:szCs w:val="20"/>
                <w14:ligatures w14:val="none"/>
              </w:rPr>
              <w:t>Launch Date + 6 Months</w:t>
            </w:r>
          </w:p>
        </w:tc>
        <w:tc>
          <w:tcPr>
            <w:tcW w:w="1746" w:type="pct"/>
            <w:tcBorders>
              <w:top w:val="nil"/>
              <w:left w:val="nil"/>
              <w:bottom w:val="single" w:sz="8" w:space="0" w:color="auto"/>
              <w:right w:val="single" w:sz="4" w:space="0" w:color="auto"/>
            </w:tcBorders>
            <w:vAlign w:val="center"/>
            <w:hideMark/>
          </w:tcPr>
          <w:p w14:paraId="73CB200A"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Formally retire the v1 endpoints as per the timeline.</w:t>
            </w:r>
          </w:p>
        </w:tc>
        <w:tc>
          <w:tcPr>
            <w:tcW w:w="2667" w:type="pct"/>
            <w:tcBorders>
              <w:top w:val="nil"/>
              <w:left w:val="nil"/>
              <w:bottom w:val="single" w:sz="8" w:space="0" w:color="auto"/>
              <w:right w:val="single" w:sz="8" w:space="0" w:color="auto"/>
            </w:tcBorders>
            <w:vAlign w:val="center"/>
            <w:hideMark/>
          </w:tcPr>
          <w:p w14:paraId="529920D0" w14:textId="77777777" w:rsidR="008E758C" w:rsidRPr="008E758C" w:rsidRDefault="008E758C" w:rsidP="008E758C">
            <w:pPr>
              <w:spacing w:after="0" w:line="240" w:lineRule="auto"/>
              <w:rPr>
                <w:rFonts w:ascii="Arial" w:eastAsia="Times New Roman" w:hAnsi="Arial" w:cs="Arial"/>
                <w:color w:val="000000"/>
                <w:kern w:val="0"/>
                <w:sz w:val="20"/>
                <w:szCs w:val="20"/>
                <w14:ligatures w14:val="none"/>
              </w:rPr>
            </w:pPr>
            <w:r w:rsidRPr="008E758C">
              <w:rPr>
                <w:rFonts w:ascii="Arial" w:eastAsia="Times New Roman" w:hAnsi="Arial" w:cs="Arial"/>
                <w:color w:val="000000"/>
                <w:kern w:val="0"/>
                <w:sz w:val="20"/>
                <w:szCs w:val="20"/>
                <w14:ligatures w14:val="none"/>
              </w:rPr>
              <w:t>N/A</w:t>
            </w:r>
          </w:p>
        </w:tc>
      </w:tr>
    </w:tbl>
    <w:p w14:paraId="67687E22" w14:textId="77777777" w:rsidR="008E758C" w:rsidRDefault="008E758C" w:rsidP="008E758C">
      <w:pPr>
        <w:pStyle w:val="Heading2"/>
      </w:pPr>
      <w:r>
        <w:t>5.3. Process for Non-Breaking (MINOR/PATCH) Changes</w:t>
      </w:r>
    </w:p>
    <w:p w14:paraId="2EBBC41B" w14:textId="77777777" w:rsidR="008E758C" w:rsidRDefault="008E758C" w:rsidP="008E758C">
      <w:pPr>
        <w:pStyle w:val="NormalWeb"/>
      </w:pPr>
      <w:r>
        <w:t>A MINOR change introduces new, backward-compatible functionality. A PATCH change is a backward-compatible bug fix.</w:t>
      </w:r>
    </w:p>
    <w:p w14:paraId="745F0CE8" w14:textId="77777777" w:rsidR="008E758C" w:rsidRDefault="008E758C" w:rsidP="008E758C">
      <w:pPr>
        <w:pStyle w:val="NormalWeb"/>
        <w:numPr>
          <w:ilvl w:val="0"/>
          <w:numId w:val="26"/>
        </w:numPr>
      </w:pPr>
      <w:r>
        <w:rPr>
          <w:b/>
          <w:bCs/>
        </w:rPr>
        <w:t>Communication &amp; Documentation</w:t>
      </w:r>
    </w:p>
    <w:p w14:paraId="7D7F1CF5" w14:textId="77777777" w:rsidR="008E758C" w:rsidRDefault="008E758C" w:rsidP="008E758C">
      <w:pPr>
        <w:pStyle w:val="NormalWeb"/>
        <w:numPr>
          <w:ilvl w:val="1"/>
          <w:numId w:val="26"/>
        </w:numPr>
      </w:pPr>
      <w:r>
        <w:rPr>
          <w:b/>
          <w:bCs/>
        </w:rPr>
        <w:t>Responsibility (CVS):</w:t>
      </w:r>
      <w:r>
        <w:t xml:space="preserve"> All changes will be documented in forward-looking release notes published in a shared repository. MINOR changes must be formally announced to the Aetna Primary Technical Contact at least </w:t>
      </w:r>
      <w:r>
        <w:rPr>
          <w:b/>
          <w:bCs/>
        </w:rPr>
        <w:t>four (4) weeks</w:t>
      </w:r>
      <w:r>
        <w:t xml:space="preserve"> prior to production deployment. PATCH changes require a minimum of </w:t>
      </w:r>
      <w:r>
        <w:rPr>
          <w:b/>
          <w:bCs/>
        </w:rPr>
        <w:t xml:space="preserve">one (1) </w:t>
      </w:r>
      <w:proofErr w:type="gramStart"/>
      <w:r>
        <w:rPr>
          <w:b/>
          <w:bCs/>
        </w:rPr>
        <w:t>week</w:t>
      </w:r>
      <w:proofErr w:type="gramEnd"/>
      <w:r>
        <w:t xml:space="preserve"> notice.</w:t>
      </w:r>
    </w:p>
    <w:p w14:paraId="1086ECCD" w14:textId="77777777" w:rsidR="008E758C" w:rsidRDefault="008E758C" w:rsidP="008E758C">
      <w:pPr>
        <w:pStyle w:val="NormalWeb"/>
        <w:numPr>
          <w:ilvl w:val="0"/>
          <w:numId w:val="26"/>
        </w:numPr>
      </w:pPr>
      <w:r>
        <w:rPr>
          <w:b/>
          <w:bCs/>
        </w:rPr>
        <w:t>Pre-release Testing &amp; Validation</w:t>
      </w:r>
    </w:p>
    <w:p w14:paraId="23372973" w14:textId="77777777" w:rsidR="008E758C" w:rsidRDefault="008E758C" w:rsidP="008E758C">
      <w:pPr>
        <w:pStyle w:val="NormalWeb"/>
        <w:numPr>
          <w:ilvl w:val="1"/>
          <w:numId w:val="26"/>
        </w:numPr>
      </w:pPr>
      <w:r>
        <w:rPr>
          <w:b/>
          <w:bCs/>
        </w:rPr>
        <w:t>Responsibility (CVS):</w:t>
      </w:r>
      <w:r>
        <w:t xml:space="preserve"> All MINOR and PATCH changes must be deployed to the Sandbox environment at least </w:t>
      </w:r>
      <w:r>
        <w:rPr>
          <w:b/>
          <w:bCs/>
        </w:rPr>
        <w:t>two (2) weeks</w:t>
      </w:r>
      <w:r>
        <w:t xml:space="preserve"> before the scheduled production deployment to allow for validation.</w:t>
      </w:r>
    </w:p>
    <w:p w14:paraId="163DE45E" w14:textId="77777777" w:rsidR="008E758C" w:rsidRDefault="008E758C" w:rsidP="008E758C">
      <w:pPr>
        <w:pStyle w:val="NormalWeb"/>
        <w:numPr>
          <w:ilvl w:val="1"/>
          <w:numId w:val="26"/>
        </w:numPr>
      </w:pPr>
      <w:r>
        <w:rPr>
          <w:b/>
          <w:bCs/>
        </w:rPr>
        <w:t>Responsibility (Aetna):</w:t>
      </w:r>
      <w:r>
        <w:t xml:space="preserve"> Aetna is responsible for conducting regression testing against the new version in the Sandbox environment to ensure the changes do not negatively impact their existing integration. Any issues identified must be reported as defects. Aetna's decision not to test does not impede CVS's right to deploy the change according to the announced schedule.</w:t>
      </w:r>
    </w:p>
    <w:p w14:paraId="5F6E977A" w14:textId="77777777" w:rsidR="008E758C" w:rsidRDefault="008E758C" w:rsidP="008E758C">
      <w:pPr>
        <w:pStyle w:val="NormalWeb"/>
        <w:numPr>
          <w:ilvl w:val="0"/>
          <w:numId w:val="26"/>
        </w:numPr>
      </w:pPr>
      <w:r>
        <w:rPr>
          <w:b/>
          <w:bCs/>
        </w:rPr>
        <w:t>Deployment</w:t>
      </w:r>
    </w:p>
    <w:p w14:paraId="30B61F67" w14:textId="77777777" w:rsidR="008E758C" w:rsidRDefault="008E758C" w:rsidP="008E758C">
      <w:pPr>
        <w:pStyle w:val="NormalWeb"/>
        <w:numPr>
          <w:ilvl w:val="1"/>
          <w:numId w:val="26"/>
        </w:numPr>
      </w:pPr>
      <w:r>
        <w:rPr>
          <w:b/>
          <w:bCs/>
        </w:rPr>
        <w:t>Responsibility (CVS):</w:t>
      </w:r>
      <w:r>
        <w:t xml:space="preserve"> CVS is responsible for deploying the MINOR/PATCH change to the production environment according to the announced schedule, provided no blocking defects have been identified and validated from Aetna's testing.</w:t>
      </w:r>
    </w:p>
    <w:p w14:paraId="6EE331CE" w14:textId="77777777" w:rsidR="008446AB" w:rsidRPr="008446AB" w:rsidRDefault="008446AB" w:rsidP="008E758C">
      <w:pPr>
        <w:pStyle w:val="Heading1"/>
        <w:rPr>
          <w:rFonts w:eastAsia="Times New Roman"/>
        </w:rPr>
      </w:pPr>
      <w:bookmarkStart w:id="5" w:name="_Toc205425099"/>
      <w:r w:rsidRPr="008446AB">
        <w:rPr>
          <w:rFonts w:eastAsia="Times New Roman"/>
        </w:rPr>
        <w:t>Section 6: Service Retirement &amp; Sunsetting</w:t>
      </w:r>
      <w:bookmarkEnd w:id="5"/>
    </w:p>
    <w:p w14:paraId="1CFAACA4"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i/>
          <w:iCs/>
          <w:kern w:val="0"/>
          <w14:ligatures w14:val="none"/>
        </w:rPr>
      </w:pPr>
      <w:r w:rsidRPr="008446AB">
        <w:rPr>
          <w:rFonts w:ascii="Times New Roman" w:eastAsia="Times New Roman" w:hAnsi="Times New Roman" w:cs="Times New Roman"/>
          <w:b/>
          <w:bCs/>
          <w:i/>
          <w:iCs/>
          <w:kern w:val="0"/>
          <w14:ligatures w14:val="none"/>
        </w:rPr>
        <w:t>Description:</w:t>
      </w:r>
      <w:r w:rsidRPr="008446AB">
        <w:rPr>
          <w:rFonts w:ascii="Times New Roman" w:eastAsia="Times New Roman" w:hAnsi="Times New Roman" w:cs="Times New Roman"/>
          <w:i/>
          <w:iCs/>
          <w:kern w:val="0"/>
          <w14:ligatures w14:val="none"/>
        </w:rPr>
        <w:t xml:space="preserve"> This section provides a transparent framework for the final stage of a service's lifecycle.</w:t>
      </w:r>
    </w:p>
    <w:p w14:paraId="57BDCC58" w14:textId="77777777" w:rsidR="008446AB" w:rsidRPr="008446AB" w:rsidRDefault="008446AB" w:rsidP="007A73DC">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Goal:</w:t>
      </w:r>
      <w:r w:rsidRPr="008446AB">
        <w:rPr>
          <w:rFonts w:ascii="Times New Roman" w:eastAsia="Times New Roman" w:hAnsi="Times New Roman" w:cs="Times New Roman"/>
          <w:kern w:val="0"/>
          <w14:ligatures w14:val="none"/>
        </w:rPr>
        <w:t xml:space="preserve"> To ensure the retirement process is executed as a planned, joint program of work, providing Aetna with maximum predictability and lead time to migrate.</w:t>
      </w:r>
    </w:p>
    <w:p w14:paraId="275531B9" w14:textId="77777777" w:rsidR="008446AB" w:rsidRPr="008446AB" w:rsidRDefault="008446AB" w:rsidP="008446A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Minimum Deprecation Duration:</w:t>
      </w:r>
      <w:r w:rsidRPr="008446AB">
        <w:rPr>
          <w:rFonts w:ascii="Times New Roman" w:eastAsia="Times New Roman" w:hAnsi="Times New Roman" w:cs="Times New Roman"/>
          <w:kern w:val="0"/>
          <w14:ligatures w14:val="none"/>
        </w:rPr>
        <w:t xml:space="preserve"> 12 months for a complete service retirement; 6 months for a MAJOR version sunset.</w:t>
      </w:r>
    </w:p>
    <w:p w14:paraId="0A615350" w14:textId="77777777" w:rsidR="008446AB" w:rsidRPr="008446AB" w:rsidRDefault="008446AB" w:rsidP="008446A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Guarantees during Deprecation:</w:t>
      </w:r>
      <w:r w:rsidRPr="008446AB">
        <w:rPr>
          <w:rFonts w:ascii="Times New Roman" w:eastAsia="Times New Roman" w:hAnsi="Times New Roman" w:cs="Times New Roman"/>
          <w:kern w:val="0"/>
          <w14:ligatures w14:val="none"/>
        </w:rPr>
        <w:t xml:space="preserve"> SLAs remain in effect. The service is </w:t>
      </w:r>
      <w:proofErr w:type="gramStart"/>
      <w:r w:rsidRPr="008446AB">
        <w:rPr>
          <w:rFonts w:ascii="Times New Roman" w:eastAsia="Times New Roman" w:hAnsi="Times New Roman" w:cs="Times New Roman"/>
          <w:kern w:val="0"/>
          <w14:ligatures w14:val="none"/>
        </w:rPr>
        <w:t>feature-frozen</w:t>
      </w:r>
      <w:proofErr w:type="gramEnd"/>
      <w:r w:rsidRPr="008446AB">
        <w:rPr>
          <w:rFonts w:ascii="Times New Roman" w:eastAsia="Times New Roman" w:hAnsi="Times New Roman" w:cs="Times New Roman"/>
          <w:kern w:val="0"/>
          <w14:ligatures w14:val="none"/>
        </w:rPr>
        <w:t>.</w:t>
      </w:r>
    </w:p>
    <w:p w14:paraId="52C5D404" w14:textId="77777777" w:rsidR="008446AB" w:rsidRPr="008446AB" w:rsidRDefault="008446AB" w:rsidP="008446A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Technical Measures:</w:t>
      </w:r>
      <w:r w:rsidRPr="008446AB">
        <w:rPr>
          <w:rFonts w:ascii="Times New Roman" w:eastAsia="Times New Roman" w:hAnsi="Times New Roman" w:cs="Times New Roman"/>
          <w:kern w:val="0"/>
          <w14:ligatures w14:val="none"/>
        </w:rPr>
        <w:t xml:space="preserve"> Deprecated endpoints must return </w:t>
      </w:r>
      <w:r w:rsidRPr="008446AB">
        <w:rPr>
          <w:rFonts w:ascii="Courier New" w:eastAsia="Times New Roman" w:hAnsi="Courier New" w:cs="Courier New"/>
          <w:kern w:val="0"/>
          <w:sz w:val="20"/>
          <w:szCs w:val="20"/>
          <w14:ligatures w14:val="none"/>
        </w:rPr>
        <w:t>Deprecation</w:t>
      </w:r>
      <w:r w:rsidRPr="008446AB">
        <w:rPr>
          <w:rFonts w:ascii="Times New Roman" w:eastAsia="Times New Roman" w:hAnsi="Times New Roman" w:cs="Times New Roman"/>
          <w:kern w:val="0"/>
          <w14:ligatures w14:val="none"/>
        </w:rPr>
        <w:t xml:space="preserve"> and </w:t>
      </w:r>
      <w:r w:rsidRPr="008446AB">
        <w:rPr>
          <w:rFonts w:ascii="Courier New" w:eastAsia="Times New Roman" w:hAnsi="Courier New" w:cs="Courier New"/>
          <w:kern w:val="0"/>
          <w:sz w:val="20"/>
          <w:szCs w:val="20"/>
          <w14:ligatures w14:val="none"/>
        </w:rPr>
        <w:t>Link</w:t>
      </w:r>
      <w:r w:rsidRPr="008446AB">
        <w:rPr>
          <w:rFonts w:ascii="Times New Roman" w:eastAsia="Times New Roman" w:hAnsi="Times New Roman" w:cs="Times New Roman"/>
          <w:kern w:val="0"/>
          <w14:ligatures w14:val="none"/>
        </w:rPr>
        <w:t xml:space="preserve"> HTTP headers. Planned "brownouts" may be used in the final month to identify remaining dependencies.</w:t>
      </w:r>
    </w:p>
    <w:p w14:paraId="0A6380E3" w14:textId="77777777" w:rsidR="008446AB" w:rsidRPr="008446AB" w:rsidRDefault="008446AB" w:rsidP="008446A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Post-Retirement Response:</w:t>
      </w:r>
      <w:r w:rsidRPr="008446AB">
        <w:rPr>
          <w:rFonts w:ascii="Times New Roman" w:eastAsia="Times New Roman" w:hAnsi="Times New Roman" w:cs="Times New Roman"/>
          <w:kern w:val="0"/>
          <w14:ligatures w14:val="none"/>
        </w:rPr>
        <w:t xml:space="preserve"> For at least 12 months post-retirement, requests to a retired endpoint must return an HTTP 410 Gone status code.</w:t>
      </w:r>
    </w:p>
    <w:p w14:paraId="53417C91" w14:textId="77777777" w:rsidR="00AE5468" w:rsidRDefault="00AE5468" w:rsidP="00AE5468">
      <w:pPr>
        <w:pStyle w:val="Heading1"/>
        <w:rPr>
          <w:rFonts w:eastAsia="Times New Roman"/>
        </w:rPr>
        <w:sectPr w:rsidR="00AE5468">
          <w:pgSz w:w="12240" w:h="15840"/>
          <w:pgMar w:top="1440" w:right="1440" w:bottom="1440" w:left="1440" w:header="720" w:footer="720" w:gutter="0"/>
          <w:cols w:space="720"/>
          <w:docGrid w:linePitch="360"/>
        </w:sectPr>
      </w:pPr>
    </w:p>
    <w:p w14:paraId="5854536E" w14:textId="14CD7ED3" w:rsidR="007A73DC" w:rsidRDefault="007A73DC" w:rsidP="007A73DC">
      <w:pPr>
        <w:pStyle w:val="Heading1"/>
      </w:pPr>
      <w:bookmarkStart w:id="6" w:name="_Toc205425100"/>
      <w:r>
        <w:t>S</w:t>
      </w:r>
      <w:r>
        <w:t>ection 7: Agreement and Execution</w:t>
      </w:r>
      <w:bookmarkEnd w:id="6"/>
    </w:p>
    <w:p w14:paraId="36119022" w14:textId="77777777" w:rsidR="007A73DC" w:rsidRDefault="007A73DC" w:rsidP="007A73DC">
      <w:pPr>
        <w:pStyle w:val="Heading2"/>
      </w:pPr>
      <w:r>
        <w:t>7.1. Entire Agreement</w:t>
      </w:r>
    </w:p>
    <w:p w14:paraId="5AD334C7" w14:textId="77777777" w:rsidR="007A73DC" w:rsidRDefault="007A73DC" w:rsidP="007A73DC">
      <w:pPr>
        <w:pStyle w:val="NormalWeb"/>
      </w:pPr>
      <w:r>
        <w:t>This Integration Framework Agreement, including all sections and appendices hereto, constitutes the entire agreement between the Service Provider (CVS Caremark) and the Service Consumer (Aetna) with respect to the subject matter hereof, and supersedes all prior agreements, negotiations, and discussions, whether oral or written. No amendment, modification, or waiver of any provision of this Agreement shall be effective unless in writing and signed by the authorized representatives of both parties.</w:t>
      </w:r>
    </w:p>
    <w:p w14:paraId="739C9A9E" w14:textId="77777777" w:rsidR="007A73DC" w:rsidRDefault="007A73DC" w:rsidP="007A73DC">
      <w:pPr>
        <w:pStyle w:val="Heading2"/>
      </w:pPr>
      <w:r>
        <w:t>7.2. Governing Law</w:t>
      </w:r>
    </w:p>
    <w:p w14:paraId="59E4A7EB" w14:textId="77777777" w:rsidR="007A73DC" w:rsidRDefault="007A73DC" w:rsidP="007A73DC">
      <w:pPr>
        <w:pStyle w:val="NormalWeb"/>
      </w:pPr>
      <w:r>
        <w:t>This Agreement shall be governed by and construed in accordance with the laws of the State of Delaware, without regard to its conflict of law principles.</w:t>
      </w:r>
    </w:p>
    <w:p w14:paraId="340ABA6A" w14:textId="77777777" w:rsidR="007A73DC" w:rsidRDefault="007A73DC" w:rsidP="007A73DC">
      <w:pPr>
        <w:pStyle w:val="Heading2"/>
      </w:pPr>
      <w:r>
        <w:t>7.3. Execution</w:t>
      </w:r>
    </w:p>
    <w:p w14:paraId="1A9E3865" w14:textId="77777777" w:rsidR="007A73DC" w:rsidRDefault="007A73DC" w:rsidP="007A73DC">
      <w:pPr>
        <w:pStyle w:val="NormalWeb"/>
      </w:pPr>
      <w:r>
        <w:rPr>
          <w:b/>
          <w:bCs/>
        </w:rPr>
        <w:t>IN WITNESS WHEREOF</w:t>
      </w:r>
      <w:r>
        <w:t>, the parties hereto, intending to be legally bound, have caused this Integration Framework Agreement to be executed by their duly authorized representatives as of the Effective Date.</w:t>
      </w:r>
    </w:p>
    <w:p w14:paraId="42E643E6" w14:textId="77777777" w:rsidR="007A73DC" w:rsidRDefault="007A73DC" w:rsidP="007A73DC">
      <w:pPr>
        <w:pStyle w:val="NormalWeb"/>
      </w:pPr>
      <w:r>
        <w:t>&lt;</w:t>
      </w:r>
      <w:proofErr w:type="spellStart"/>
      <w:r>
        <w:t>br</w:t>
      </w:r>
      <w:proofErr w:type="spellEnd"/>
      <w: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3"/>
        <w:gridCol w:w="3801"/>
      </w:tblGrid>
      <w:tr w:rsidR="007A73DC" w14:paraId="46A1953E" w14:textId="77777777">
        <w:trPr>
          <w:tblHeader/>
          <w:tblCellSpacing w:w="15" w:type="dxa"/>
        </w:trPr>
        <w:tc>
          <w:tcPr>
            <w:tcW w:w="0" w:type="auto"/>
            <w:vAlign w:val="center"/>
            <w:hideMark/>
          </w:tcPr>
          <w:p w14:paraId="16C793CB" w14:textId="77777777" w:rsidR="007A73DC" w:rsidRDefault="007A73DC">
            <w:r>
              <w:rPr>
                <w:b/>
                <w:bCs/>
              </w:rPr>
              <w:t>For CVS Caremark (Service Provider)</w:t>
            </w:r>
          </w:p>
        </w:tc>
        <w:tc>
          <w:tcPr>
            <w:tcW w:w="0" w:type="auto"/>
            <w:vAlign w:val="center"/>
            <w:hideMark/>
          </w:tcPr>
          <w:p w14:paraId="017D7FEF" w14:textId="77777777" w:rsidR="007A73DC" w:rsidRDefault="007A73DC">
            <w:r>
              <w:rPr>
                <w:b/>
                <w:bCs/>
              </w:rPr>
              <w:t>For Aetna (Service Consumer)</w:t>
            </w:r>
          </w:p>
        </w:tc>
      </w:tr>
      <w:tr w:rsidR="007A73DC" w14:paraId="6960F373" w14:textId="77777777">
        <w:trPr>
          <w:tblCellSpacing w:w="15" w:type="dxa"/>
        </w:trPr>
        <w:tc>
          <w:tcPr>
            <w:tcW w:w="0" w:type="auto"/>
            <w:vAlign w:val="center"/>
            <w:hideMark/>
          </w:tcPr>
          <w:p w14:paraId="3FE745D0" w14:textId="77777777" w:rsidR="007A73DC" w:rsidRDefault="007A73DC">
            <w:r>
              <w:t>By: ______________________________</w:t>
            </w:r>
          </w:p>
        </w:tc>
        <w:tc>
          <w:tcPr>
            <w:tcW w:w="0" w:type="auto"/>
            <w:vAlign w:val="center"/>
            <w:hideMark/>
          </w:tcPr>
          <w:p w14:paraId="266E1D26" w14:textId="77777777" w:rsidR="007A73DC" w:rsidRDefault="007A73DC">
            <w:r>
              <w:t>By: ______________________________</w:t>
            </w:r>
          </w:p>
        </w:tc>
      </w:tr>
      <w:tr w:rsidR="007A73DC" w14:paraId="4823C0FF" w14:textId="77777777">
        <w:trPr>
          <w:tblCellSpacing w:w="15" w:type="dxa"/>
        </w:trPr>
        <w:tc>
          <w:tcPr>
            <w:tcW w:w="0" w:type="auto"/>
            <w:vAlign w:val="center"/>
            <w:hideMark/>
          </w:tcPr>
          <w:p w14:paraId="476868E8" w14:textId="77777777" w:rsidR="007A73DC" w:rsidRDefault="007A73DC">
            <w:r>
              <w:t>Name: ___________________________</w:t>
            </w:r>
          </w:p>
        </w:tc>
        <w:tc>
          <w:tcPr>
            <w:tcW w:w="0" w:type="auto"/>
            <w:vAlign w:val="center"/>
            <w:hideMark/>
          </w:tcPr>
          <w:p w14:paraId="0B8D55DD" w14:textId="77777777" w:rsidR="007A73DC" w:rsidRDefault="007A73DC">
            <w:r>
              <w:t>Name: ___________________________</w:t>
            </w:r>
          </w:p>
        </w:tc>
      </w:tr>
      <w:tr w:rsidR="007A73DC" w14:paraId="0FE497F0" w14:textId="77777777">
        <w:trPr>
          <w:tblCellSpacing w:w="15" w:type="dxa"/>
        </w:trPr>
        <w:tc>
          <w:tcPr>
            <w:tcW w:w="0" w:type="auto"/>
            <w:vAlign w:val="center"/>
            <w:hideMark/>
          </w:tcPr>
          <w:p w14:paraId="1EAFDBF1" w14:textId="77777777" w:rsidR="007A73DC" w:rsidRDefault="007A73DC">
            <w:r>
              <w:t>Title: ___________________________</w:t>
            </w:r>
          </w:p>
        </w:tc>
        <w:tc>
          <w:tcPr>
            <w:tcW w:w="0" w:type="auto"/>
            <w:vAlign w:val="center"/>
            <w:hideMark/>
          </w:tcPr>
          <w:p w14:paraId="5B957634" w14:textId="77777777" w:rsidR="007A73DC" w:rsidRDefault="007A73DC">
            <w:r>
              <w:t>Title: ___________________________</w:t>
            </w:r>
          </w:p>
        </w:tc>
      </w:tr>
      <w:tr w:rsidR="007A73DC" w14:paraId="55438AA2" w14:textId="77777777">
        <w:trPr>
          <w:tblCellSpacing w:w="15" w:type="dxa"/>
        </w:trPr>
        <w:tc>
          <w:tcPr>
            <w:tcW w:w="0" w:type="auto"/>
            <w:vAlign w:val="center"/>
            <w:hideMark/>
          </w:tcPr>
          <w:p w14:paraId="4FA58D01" w14:textId="77777777" w:rsidR="007A73DC" w:rsidRDefault="007A73DC">
            <w:r>
              <w:t>Date: ___________________________</w:t>
            </w:r>
          </w:p>
        </w:tc>
        <w:tc>
          <w:tcPr>
            <w:tcW w:w="0" w:type="auto"/>
            <w:vAlign w:val="center"/>
            <w:hideMark/>
          </w:tcPr>
          <w:p w14:paraId="1D1F4FC2" w14:textId="77777777" w:rsidR="007A73DC" w:rsidRDefault="007A73DC">
            <w:r>
              <w:t>Date: ___________________________</w:t>
            </w:r>
          </w:p>
        </w:tc>
      </w:tr>
    </w:tbl>
    <w:p w14:paraId="33076A4F" w14:textId="77777777" w:rsidR="008446AB" w:rsidRDefault="008446A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0F27D7C" w14:textId="77777777" w:rsidR="008446AB" w:rsidRPr="008446AB" w:rsidRDefault="008446AB" w:rsidP="00AE5468">
      <w:pPr>
        <w:pStyle w:val="Heading1"/>
        <w:rPr>
          <w:rFonts w:eastAsia="Times New Roman"/>
        </w:rPr>
      </w:pPr>
      <w:bookmarkStart w:id="7" w:name="_Toc205425101"/>
      <w:r w:rsidRPr="008446AB">
        <w:rPr>
          <w:rFonts w:eastAsia="Times New Roman"/>
        </w:rPr>
        <w:t>Appendix: Analysis of Process Gap Solutions</w:t>
      </w:r>
      <w:bookmarkEnd w:id="7"/>
    </w:p>
    <w:p w14:paraId="51C4ECB7" w14:textId="77777777" w:rsidR="008446AB" w:rsidRPr="008446AB" w:rsidRDefault="008446AB" w:rsidP="008446AB">
      <w:p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kern w:val="0"/>
          <w14:ligatures w14:val="none"/>
        </w:rPr>
        <w:t>This appendix provides a comprehensive analysis of the solutions chosen to address the identified gaps in the feature integration process. It details the alternatives considered and provides a clear justification for why the selected options provide the most value.</w:t>
      </w:r>
    </w:p>
    <w:p w14:paraId="0ABA0D30" w14:textId="77777777" w:rsidR="008446AB" w:rsidRPr="008446AB" w:rsidRDefault="008446AB" w:rsidP="008446A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Gap 1: Phase 1 - Feature Onboarding:</w:t>
      </w:r>
      <w:r w:rsidRPr="008446AB">
        <w:rPr>
          <w:rFonts w:ascii="Times New Roman" w:eastAsia="Times New Roman" w:hAnsi="Times New Roman" w:cs="Times New Roman"/>
          <w:kern w:val="0"/>
          <w14:ligatures w14:val="none"/>
        </w:rPr>
        <w:t xml:space="preserve"> Key CVS technical stakeholders are frequently absent from initial onboarding meetings.</w:t>
      </w:r>
    </w:p>
    <w:p w14:paraId="1E98A2B6" w14:textId="77777777" w:rsidR="008446AB" w:rsidRPr="008446AB" w:rsidRDefault="008446AB" w:rsidP="007A73DC">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Selected Solution:</w:t>
      </w:r>
      <w:r w:rsidRPr="008446AB">
        <w:rPr>
          <w:rFonts w:ascii="Times New Roman" w:eastAsia="Times New Roman" w:hAnsi="Times New Roman" w:cs="Times New Roman"/>
          <w:kern w:val="0"/>
          <w14:ligatures w14:val="none"/>
        </w:rPr>
        <w:t xml:space="preserve"> Mandate the attendance of designated lead architects and engineering managers from both CVS and Aetna to act as a "technical conscience."</w:t>
      </w:r>
    </w:p>
    <w:p w14:paraId="60A6E367" w14:textId="77777777" w:rsidR="008446AB" w:rsidRPr="008446AB" w:rsidRDefault="008446AB" w:rsidP="008446A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Gap 2: Phase 2 - Feature Refinement (External):</w:t>
      </w:r>
      <w:r w:rsidRPr="008446AB">
        <w:rPr>
          <w:rFonts w:ascii="Times New Roman" w:eastAsia="Times New Roman" w:hAnsi="Times New Roman" w:cs="Times New Roman"/>
          <w:kern w:val="0"/>
          <w14:ligatures w14:val="none"/>
        </w:rPr>
        <w:t xml:space="preserve"> Sessions often proceed without necessary decision-making authority from </w:t>
      </w:r>
      <w:proofErr w:type="gramStart"/>
      <w:r w:rsidRPr="008446AB">
        <w:rPr>
          <w:rFonts w:ascii="Times New Roman" w:eastAsia="Times New Roman" w:hAnsi="Times New Roman" w:cs="Times New Roman"/>
          <w:kern w:val="0"/>
          <w14:ligatures w14:val="none"/>
        </w:rPr>
        <w:t>CVS, and</w:t>
      </w:r>
      <w:proofErr w:type="gramEnd"/>
      <w:r w:rsidRPr="008446AB">
        <w:rPr>
          <w:rFonts w:ascii="Times New Roman" w:eastAsia="Times New Roman" w:hAnsi="Times New Roman" w:cs="Times New Roman"/>
          <w:kern w:val="0"/>
          <w14:ligatures w14:val="none"/>
        </w:rPr>
        <w:t xml:space="preserve"> conclude without a formal agreement on roles.</w:t>
      </w:r>
    </w:p>
    <w:p w14:paraId="7D6EC499" w14:textId="77777777" w:rsidR="008446AB" w:rsidRPr="008446AB" w:rsidRDefault="008446AB" w:rsidP="008446A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Selected Solution:</w:t>
      </w:r>
      <w:r w:rsidRPr="008446AB">
        <w:rPr>
          <w:rFonts w:ascii="Times New Roman" w:eastAsia="Times New Roman" w:hAnsi="Times New Roman" w:cs="Times New Roman"/>
          <w:kern w:val="0"/>
          <w14:ligatures w14:val="none"/>
        </w:rPr>
        <w:t xml:space="preserve"> Make a feature-specific RACI Matrix a mandatory exit criterion for the phase, co-authored by both Product Owners.</w:t>
      </w:r>
    </w:p>
    <w:p w14:paraId="1D792E26" w14:textId="77777777" w:rsidR="008446AB" w:rsidRPr="008446AB" w:rsidRDefault="008446AB" w:rsidP="008446A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Gap 3: Phase 3 - Feature Refinement (Internal):</w:t>
      </w:r>
      <w:r w:rsidRPr="008446AB">
        <w:rPr>
          <w:rFonts w:ascii="Times New Roman" w:eastAsia="Times New Roman" w:hAnsi="Times New Roman" w:cs="Times New Roman"/>
          <w:kern w:val="0"/>
          <w14:ligatures w14:val="none"/>
        </w:rPr>
        <w:t xml:space="preserve"> The Intake Request to CVS is often too narrowly focused on delivery and fails to specify operational support requirements.</w:t>
      </w:r>
    </w:p>
    <w:p w14:paraId="4CEC385A" w14:textId="77777777" w:rsidR="008446AB" w:rsidRPr="008446AB" w:rsidRDefault="008446AB" w:rsidP="008446A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Selected Solution:</w:t>
      </w:r>
      <w:r w:rsidRPr="008446AB">
        <w:rPr>
          <w:rFonts w:ascii="Times New Roman" w:eastAsia="Times New Roman" w:hAnsi="Times New Roman" w:cs="Times New Roman"/>
          <w:kern w:val="0"/>
          <w14:ligatures w14:val="none"/>
        </w:rPr>
        <w:t xml:space="preserve"> Update the Intake Request template to include a mandatory "Support &amp; Operations" section and require attachment of the agreed-upon RACI.</w:t>
      </w:r>
    </w:p>
    <w:p w14:paraId="1D3AB8A7" w14:textId="77777777" w:rsidR="008446AB" w:rsidRPr="008446AB" w:rsidRDefault="008446AB" w:rsidP="008446A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Gap 4: Phase 4 - Aetna Feature Sizing &amp; Assignment:</w:t>
      </w:r>
      <w:r w:rsidRPr="008446AB">
        <w:rPr>
          <w:rFonts w:ascii="Times New Roman" w:eastAsia="Times New Roman" w:hAnsi="Times New Roman" w:cs="Times New Roman"/>
          <w:kern w:val="0"/>
          <w14:ligatures w14:val="none"/>
        </w:rPr>
        <w:t xml:space="preserve"> Aetna proceeds with PI planning without a formal, documented commitment from CVS.</w:t>
      </w:r>
    </w:p>
    <w:p w14:paraId="70CA9DFB" w14:textId="77777777" w:rsidR="008446AB" w:rsidRPr="008446AB" w:rsidRDefault="008446AB" w:rsidP="008446A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8446AB">
        <w:rPr>
          <w:rFonts w:ascii="Times New Roman" w:eastAsia="Times New Roman" w:hAnsi="Times New Roman" w:cs="Times New Roman"/>
          <w:b/>
          <w:bCs/>
          <w:kern w:val="0"/>
          <w14:ligatures w14:val="none"/>
        </w:rPr>
        <w:t>Selected Solution:</w:t>
      </w:r>
      <w:r w:rsidRPr="008446AB">
        <w:rPr>
          <w:rFonts w:ascii="Times New Roman" w:eastAsia="Times New Roman" w:hAnsi="Times New Roman" w:cs="Times New Roman"/>
          <w:kern w:val="0"/>
          <w14:ligatures w14:val="none"/>
        </w:rPr>
        <w:t xml:space="preserve"> Institute a hard gate: a feature cannot be slotted into an Aetna PI until the Intake Request has been formally "Accepted" by the CVS Product Owner.</w:t>
      </w:r>
    </w:p>
    <w:p w14:paraId="45A897AF" w14:textId="77777777" w:rsidR="008446AB" w:rsidRPr="008446AB" w:rsidRDefault="008446AB" w:rsidP="008446AB"/>
    <w:sectPr w:rsidR="008446AB" w:rsidRPr="0084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30D12"/>
    <w:multiLevelType w:val="multilevel"/>
    <w:tmpl w:val="60E0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FC1"/>
    <w:multiLevelType w:val="multilevel"/>
    <w:tmpl w:val="CCF4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7A62"/>
    <w:multiLevelType w:val="multilevel"/>
    <w:tmpl w:val="9ACA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B2D5F"/>
    <w:multiLevelType w:val="multilevel"/>
    <w:tmpl w:val="8C9A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851E3"/>
    <w:multiLevelType w:val="multilevel"/>
    <w:tmpl w:val="6E3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00C6E"/>
    <w:multiLevelType w:val="multilevel"/>
    <w:tmpl w:val="067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7029E"/>
    <w:multiLevelType w:val="multilevel"/>
    <w:tmpl w:val="28F22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365A3"/>
    <w:multiLevelType w:val="multilevel"/>
    <w:tmpl w:val="E35E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661D1"/>
    <w:multiLevelType w:val="multilevel"/>
    <w:tmpl w:val="CCEA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20CE9"/>
    <w:multiLevelType w:val="multilevel"/>
    <w:tmpl w:val="011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8292E"/>
    <w:multiLevelType w:val="multilevel"/>
    <w:tmpl w:val="F4BE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E25A0"/>
    <w:multiLevelType w:val="multilevel"/>
    <w:tmpl w:val="5C36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50EF2"/>
    <w:multiLevelType w:val="multilevel"/>
    <w:tmpl w:val="3F9A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D06ED"/>
    <w:multiLevelType w:val="multilevel"/>
    <w:tmpl w:val="E26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A2DD4"/>
    <w:multiLevelType w:val="multilevel"/>
    <w:tmpl w:val="B2587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90186"/>
    <w:multiLevelType w:val="multilevel"/>
    <w:tmpl w:val="66E8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41316"/>
    <w:multiLevelType w:val="hybridMultilevel"/>
    <w:tmpl w:val="CB44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856DB"/>
    <w:multiLevelType w:val="multilevel"/>
    <w:tmpl w:val="9848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65F70"/>
    <w:multiLevelType w:val="multilevel"/>
    <w:tmpl w:val="29D8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77069"/>
    <w:multiLevelType w:val="multilevel"/>
    <w:tmpl w:val="7362F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B53F8"/>
    <w:multiLevelType w:val="multilevel"/>
    <w:tmpl w:val="2FDE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20F52"/>
    <w:multiLevelType w:val="multilevel"/>
    <w:tmpl w:val="F63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186071"/>
    <w:multiLevelType w:val="multilevel"/>
    <w:tmpl w:val="36C8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D3E51"/>
    <w:multiLevelType w:val="multilevel"/>
    <w:tmpl w:val="F14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260AA"/>
    <w:multiLevelType w:val="multilevel"/>
    <w:tmpl w:val="6FDE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D2606C"/>
    <w:multiLevelType w:val="multilevel"/>
    <w:tmpl w:val="D8B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730072">
    <w:abstractNumId w:val="21"/>
  </w:num>
  <w:num w:numId="2" w16cid:durableId="129835309">
    <w:abstractNumId w:val="25"/>
  </w:num>
  <w:num w:numId="3" w16cid:durableId="950741439">
    <w:abstractNumId w:val="12"/>
  </w:num>
  <w:num w:numId="4" w16cid:durableId="52971345">
    <w:abstractNumId w:val="23"/>
  </w:num>
  <w:num w:numId="5" w16cid:durableId="1655790839">
    <w:abstractNumId w:val="7"/>
  </w:num>
  <w:num w:numId="6" w16cid:durableId="2075621163">
    <w:abstractNumId w:val="15"/>
  </w:num>
  <w:num w:numId="7" w16cid:durableId="1212425919">
    <w:abstractNumId w:val="2"/>
  </w:num>
  <w:num w:numId="8" w16cid:durableId="496463400">
    <w:abstractNumId w:val="5"/>
  </w:num>
  <w:num w:numId="9" w16cid:durableId="646974355">
    <w:abstractNumId w:val="17"/>
  </w:num>
  <w:num w:numId="10" w16cid:durableId="751048492">
    <w:abstractNumId w:val="9"/>
  </w:num>
  <w:num w:numId="11" w16cid:durableId="396779892">
    <w:abstractNumId w:val="6"/>
  </w:num>
  <w:num w:numId="12" w16cid:durableId="1788040251">
    <w:abstractNumId w:val="22"/>
  </w:num>
  <w:num w:numId="13" w16cid:durableId="553397479">
    <w:abstractNumId w:val="8"/>
  </w:num>
  <w:num w:numId="14" w16cid:durableId="88160688">
    <w:abstractNumId w:val="11"/>
  </w:num>
  <w:num w:numId="15" w16cid:durableId="1685134046">
    <w:abstractNumId w:val="3"/>
  </w:num>
  <w:num w:numId="16" w16cid:durableId="1797797374">
    <w:abstractNumId w:val="24"/>
  </w:num>
  <w:num w:numId="17" w16cid:durableId="936064329">
    <w:abstractNumId w:val="0"/>
  </w:num>
  <w:num w:numId="18" w16cid:durableId="1218122870">
    <w:abstractNumId w:val="20"/>
  </w:num>
  <w:num w:numId="19" w16cid:durableId="1808471809">
    <w:abstractNumId w:val="10"/>
  </w:num>
  <w:num w:numId="20" w16cid:durableId="1945647888">
    <w:abstractNumId w:val="13"/>
  </w:num>
  <w:num w:numId="21" w16cid:durableId="876963672">
    <w:abstractNumId w:val="4"/>
  </w:num>
  <w:num w:numId="22" w16cid:durableId="88553137">
    <w:abstractNumId w:val="19"/>
  </w:num>
  <w:num w:numId="23" w16cid:durableId="884875073">
    <w:abstractNumId w:val="16"/>
  </w:num>
  <w:num w:numId="24" w16cid:durableId="419252891">
    <w:abstractNumId w:val="1"/>
  </w:num>
  <w:num w:numId="25" w16cid:durableId="493499770">
    <w:abstractNumId w:val="18"/>
  </w:num>
  <w:num w:numId="26" w16cid:durableId="6599642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QwNDeyNDA2NTcyNTBX0lEKTi0uzszPAykwrAUAEVOgiCwAAAA="/>
  </w:docVars>
  <w:rsids>
    <w:rsidRoot w:val="008446AB"/>
    <w:rsid w:val="00767B74"/>
    <w:rsid w:val="007A73DC"/>
    <w:rsid w:val="008446AB"/>
    <w:rsid w:val="008E758C"/>
    <w:rsid w:val="00AE5468"/>
    <w:rsid w:val="00E0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1FA7"/>
  <w15:chartTrackingRefBased/>
  <w15:docId w15:val="{B1FE224A-417B-421C-B35D-A2072D13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4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4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4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4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4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4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4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4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AB"/>
    <w:rPr>
      <w:rFonts w:eastAsiaTheme="majorEastAsia" w:cstheme="majorBidi"/>
      <w:color w:val="272727" w:themeColor="text1" w:themeTint="D8"/>
    </w:rPr>
  </w:style>
  <w:style w:type="paragraph" w:styleId="Title">
    <w:name w:val="Title"/>
    <w:basedOn w:val="Normal"/>
    <w:next w:val="Normal"/>
    <w:link w:val="TitleChar"/>
    <w:uiPriority w:val="10"/>
    <w:qFormat/>
    <w:rsid w:val="00844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AB"/>
    <w:pPr>
      <w:spacing w:before="160"/>
      <w:jc w:val="center"/>
    </w:pPr>
    <w:rPr>
      <w:i/>
      <w:iCs/>
      <w:color w:val="404040" w:themeColor="text1" w:themeTint="BF"/>
    </w:rPr>
  </w:style>
  <w:style w:type="character" w:customStyle="1" w:styleId="QuoteChar">
    <w:name w:val="Quote Char"/>
    <w:basedOn w:val="DefaultParagraphFont"/>
    <w:link w:val="Quote"/>
    <w:uiPriority w:val="29"/>
    <w:rsid w:val="008446AB"/>
    <w:rPr>
      <w:i/>
      <w:iCs/>
      <w:color w:val="404040" w:themeColor="text1" w:themeTint="BF"/>
    </w:rPr>
  </w:style>
  <w:style w:type="paragraph" w:styleId="ListParagraph">
    <w:name w:val="List Paragraph"/>
    <w:basedOn w:val="Normal"/>
    <w:uiPriority w:val="34"/>
    <w:qFormat/>
    <w:rsid w:val="008446AB"/>
    <w:pPr>
      <w:ind w:left="720"/>
      <w:contextualSpacing/>
    </w:pPr>
  </w:style>
  <w:style w:type="character" w:styleId="IntenseEmphasis">
    <w:name w:val="Intense Emphasis"/>
    <w:basedOn w:val="DefaultParagraphFont"/>
    <w:uiPriority w:val="21"/>
    <w:qFormat/>
    <w:rsid w:val="008446AB"/>
    <w:rPr>
      <w:i/>
      <w:iCs/>
      <w:color w:val="0F4761" w:themeColor="accent1" w:themeShade="BF"/>
    </w:rPr>
  </w:style>
  <w:style w:type="paragraph" w:styleId="IntenseQuote">
    <w:name w:val="Intense Quote"/>
    <w:basedOn w:val="Normal"/>
    <w:next w:val="Normal"/>
    <w:link w:val="IntenseQuoteChar"/>
    <w:uiPriority w:val="30"/>
    <w:qFormat/>
    <w:rsid w:val="00844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AB"/>
    <w:rPr>
      <w:i/>
      <w:iCs/>
      <w:color w:val="0F4761" w:themeColor="accent1" w:themeShade="BF"/>
    </w:rPr>
  </w:style>
  <w:style w:type="character" w:styleId="IntenseReference">
    <w:name w:val="Intense Reference"/>
    <w:basedOn w:val="DefaultParagraphFont"/>
    <w:uiPriority w:val="32"/>
    <w:qFormat/>
    <w:rsid w:val="008446AB"/>
    <w:rPr>
      <w:b/>
      <w:bCs/>
      <w:smallCaps/>
      <w:color w:val="0F4761" w:themeColor="accent1" w:themeShade="BF"/>
      <w:spacing w:val="5"/>
    </w:rPr>
  </w:style>
  <w:style w:type="character" w:customStyle="1" w:styleId="selected">
    <w:name w:val="selected"/>
    <w:basedOn w:val="DefaultParagraphFont"/>
    <w:rsid w:val="008446AB"/>
  </w:style>
  <w:style w:type="paragraph" w:styleId="NormalWeb">
    <w:name w:val="Normal (Web)"/>
    <w:basedOn w:val="Normal"/>
    <w:uiPriority w:val="99"/>
    <w:semiHidden/>
    <w:unhideWhenUsed/>
    <w:rsid w:val="008446AB"/>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AE5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A73DC"/>
    <w:pPr>
      <w:tabs>
        <w:tab w:val="right" w:leader="dot" w:pos="9350"/>
      </w:tabs>
      <w:spacing w:after="100" w:line="240" w:lineRule="auto"/>
    </w:pPr>
  </w:style>
  <w:style w:type="character" w:styleId="Hyperlink">
    <w:name w:val="Hyperlink"/>
    <w:basedOn w:val="DefaultParagraphFont"/>
    <w:uiPriority w:val="99"/>
    <w:unhideWhenUsed/>
    <w:rsid w:val="007A73D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601">
      <w:marLeft w:val="0"/>
      <w:marRight w:val="0"/>
      <w:marTop w:val="0"/>
      <w:marBottom w:val="0"/>
      <w:divBdr>
        <w:top w:val="none" w:sz="0" w:space="0" w:color="auto"/>
        <w:left w:val="none" w:sz="0" w:space="0" w:color="auto"/>
        <w:bottom w:val="none" w:sz="0" w:space="0" w:color="auto"/>
        <w:right w:val="none" w:sz="0" w:space="0" w:color="auto"/>
      </w:divBdr>
      <w:divsChild>
        <w:div w:id="1086726159">
          <w:marLeft w:val="0"/>
          <w:marRight w:val="0"/>
          <w:marTop w:val="0"/>
          <w:marBottom w:val="0"/>
          <w:divBdr>
            <w:top w:val="none" w:sz="0" w:space="0" w:color="auto"/>
            <w:left w:val="none" w:sz="0" w:space="0" w:color="auto"/>
            <w:bottom w:val="none" w:sz="0" w:space="0" w:color="auto"/>
            <w:right w:val="none" w:sz="0" w:space="0" w:color="auto"/>
          </w:divBdr>
        </w:div>
      </w:divsChild>
    </w:div>
    <w:div w:id="341518215">
      <w:marLeft w:val="0"/>
      <w:marRight w:val="0"/>
      <w:marTop w:val="0"/>
      <w:marBottom w:val="0"/>
      <w:divBdr>
        <w:top w:val="none" w:sz="0" w:space="0" w:color="auto"/>
        <w:left w:val="none" w:sz="0" w:space="0" w:color="auto"/>
        <w:bottom w:val="none" w:sz="0" w:space="0" w:color="auto"/>
        <w:right w:val="none" w:sz="0" w:space="0" w:color="auto"/>
      </w:divBdr>
      <w:divsChild>
        <w:div w:id="829176680">
          <w:marLeft w:val="0"/>
          <w:marRight w:val="0"/>
          <w:marTop w:val="0"/>
          <w:marBottom w:val="0"/>
          <w:divBdr>
            <w:top w:val="none" w:sz="0" w:space="0" w:color="auto"/>
            <w:left w:val="none" w:sz="0" w:space="0" w:color="auto"/>
            <w:bottom w:val="none" w:sz="0" w:space="0" w:color="auto"/>
            <w:right w:val="none" w:sz="0" w:space="0" w:color="auto"/>
          </w:divBdr>
        </w:div>
      </w:divsChild>
    </w:div>
    <w:div w:id="941257434">
      <w:marLeft w:val="0"/>
      <w:marRight w:val="0"/>
      <w:marTop w:val="0"/>
      <w:marBottom w:val="0"/>
      <w:divBdr>
        <w:top w:val="none" w:sz="0" w:space="0" w:color="auto"/>
        <w:left w:val="none" w:sz="0" w:space="0" w:color="auto"/>
        <w:bottom w:val="none" w:sz="0" w:space="0" w:color="auto"/>
        <w:right w:val="none" w:sz="0" w:space="0" w:color="auto"/>
      </w:divBdr>
      <w:divsChild>
        <w:div w:id="781345547">
          <w:marLeft w:val="0"/>
          <w:marRight w:val="0"/>
          <w:marTop w:val="0"/>
          <w:marBottom w:val="0"/>
          <w:divBdr>
            <w:top w:val="none" w:sz="0" w:space="0" w:color="auto"/>
            <w:left w:val="none" w:sz="0" w:space="0" w:color="auto"/>
            <w:bottom w:val="none" w:sz="0" w:space="0" w:color="auto"/>
            <w:right w:val="none" w:sz="0" w:space="0" w:color="auto"/>
          </w:divBdr>
        </w:div>
      </w:divsChild>
    </w:div>
    <w:div w:id="1113867998">
      <w:marLeft w:val="0"/>
      <w:marRight w:val="0"/>
      <w:marTop w:val="0"/>
      <w:marBottom w:val="0"/>
      <w:divBdr>
        <w:top w:val="none" w:sz="0" w:space="0" w:color="auto"/>
        <w:left w:val="none" w:sz="0" w:space="0" w:color="auto"/>
        <w:bottom w:val="none" w:sz="0" w:space="0" w:color="auto"/>
        <w:right w:val="none" w:sz="0" w:space="0" w:color="auto"/>
      </w:divBdr>
      <w:divsChild>
        <w:div w:id="271323833">
          <w:marLeft w:val="0"/>
          <w:marRight w:val="0"/>
          <w:marTop w:val="0"/>
          <w:marBottom w:val="0"/>
          <w:divBdr>
            <w:top w:val="none" w:sz="0" w:space="0" w:color="auto"/>
            <w:left w:val="none" w:sz="0" w:space="0" w:color="auto"/>
            <w:bottom w:val="none" w:sz="0" w:space="0" w:color="auto"/>
            <w:right w:val="none" w:sz="0" w:space="0" w:color="auto"/>
          </w:divBdr>
        </w:div>
      </w:divsChild>
    </w:div>
    <w:div w:id="1411386844">
      <w:marLeft w:val="0"/>
      <w:marRight w:val="0"/>
      <w:marTop w:val="0"/>
      <w:marBottom w:val="0"/>
      <w:divBdr>
        <w:top w:val="none" w:sz="0" w:space="0" w:color="auto"/>
        <w:left w:val="none" w:sz="0" w:space="0" w:color="auto"/>
        <w:bottom w:val="none" w:sz="0" w:space="0" w:color="auto"/>
        <w:right w:val="none" w:sz="0" w:space="0" w:color="auto"/>
      </w:divBdr>
      <w:divsChild>
        <w:div w:id="706415082">
          <w:marLeft w:val="0"/>
          <w:marRight w:val="0"/>
          <w:marTop w:val="0"/>
          <w:marBottom w:val="0"/>
          <w:divBdr>
            <w:top w:val="none" w:sz="0" w:space="0" w:color="auto"/>
            <w:left w:val="none" w:sz="0" w:space="0" w:color="auto"/>
            <w:bottom w:val="none" w:sz="0" w:space="0" w:color="auto"/>
            <w:right w:val="none" w:sz="0" w:space="0" w:color="auto"/>
          </w:divBdr>
        </w:div>
      </w:divsChild>
    </w:div>
    <w:div w:id="1535996844">
      <w:marLeft w:val="0"/>
      <w:marRight w:val="0"/>
      <w:marTop w:val="0"/>
      <w:marBottom w:val="0"/>
      <w:divBdr>
        <w:top w:val="none" w:sz="0" w:space="0" w:color="auto"/>
        <w:left w:val="none" w:sz="0" w:space="0" w:color="auto"/>
        <w:bottom w:val="none" w:sz="0" w:space="0" w:color="auto"/>
        <w:right w:val="none" w:sz="0" w:space="0" w:color="auto"/>
      </w:divBdr>
      <w:divsChild>
        <w:div w:id="1114980762">
          <w:marLeft w:val="0"/>
          <w:marRight w:val="0"/>
          <w:marTop w:val="0"/>
          <w:marBottom w:val="0"/>
          <w:divBdr>
            <w:top w:val="none" w:sz="0" w:space="0" w:color="auto"/>
            <w:left w:val="none" w:sz="0" w:space="0" w:color="auto"/>
            <w:bottom w:val="none" w:sz="0" w:space="0" w:color="auto"/>
            <w:right w:val="none" w:sz="0" w:space="0" w:color="auto"/>
          </w:divBdr>
        </w:div>
      </w:divsChild>
    </w:div>
    <w:div w:id="1648318499">
      <w:marLeft w:val="0"/>
      <w:marRight w:val="0"/>
      <w:marTop w:val="0"/>
      <w:marBottom w:val="0"/>
      <w:divBdr>
        <w:top w:val="none" w:sz="0" w:space="0" w:color="auto"/>
        <w:left w:val="none" w:sz="0" w:space="0" w:color="auto"/>
        <w:bottom w:val="none" w:sz="0" w:space="0" w:color="auto"/>
        <w:right w:val="none" w:sz="0" w:space="0" w:color="auto"/>
      </w:divBdr>
      <w:divsChild>
        <w:div w:id="898325026">
          <w:marLeft w:val="0"/>
          <w:marRight w:val="0"/>
          <w:marTop w:val="0"/>
          <w:marBottom w:val="0"/>
          <w:divBdr>
            <w:top w:val="none" w:sz="0" w:space="0" w:color="auto"/>
            <w:left w:val="none" w:sz="0" w:space="0" w:color="auto"/>
            <w:bottom w:val="none" w:sz="0" w:space="0" w:color="auto"/>
            <w:right w:val="none" w:sz="0" w:space="0" w:color="auto"/>
          </w:divBdr>
        </w:div>
      </w:divsChild>
    </w:div>
    <w:div w:id="1830363315">
      <w:marLeft w:val="0"/>
      <w:marRight w:val="0"/>
      <w:marTop w:val="0"/>
      <w:marBottom w:val="0"/>
      <w:divBdr>
        <w:top w:val="none" w:sz="0" w:space="0" w:color="auto"/>
        <w:left w:val="none" w:sz="0" w:space="0" w:color="auto"/>
        <w:bottom w:val="none" w:sz="0" w:space="0" w:color="auto"/>
        <w:right w:val="none" w:sz="0" w:space="0" w:color="auto"/>
      </w:divBdr>
      <w:divsChild>
        <w:div w:id="1259943275">
          <w:marLeft w:val="0"/>
          <w:marRight w:val="0"/>
          <w:marTop w:val="0"/>
          <w:marBottom w:val="0"/>
          <w:divBdr>
            <w:top w:val="none" w:sz="0" w:space="0" w:color="auto"/>
            <w:left w:val="none" w:sz="0" w:space="0" w:color="auto"/>
            <w:bottom w:val="none" w:sz="0" w:space="0" w:color="auto"/>
            <w:right w:val="none" w:sz="0" w:space="0" w:color="auto"/>
          </w:divBdr>
        </w:div>
      </w:divsChild>
    </w:div>
    <w:div w:id="1895965413">
      <w:marLeft w:val="0"/>
      <w:marRight w:val="0"/>
      <w:marTop w:val="0"/>
      <w:marBottom w:val="0"/>
      <w:divBdr>
        <w:top w:val="none" w:sz="0" w:space="0" w:color="auto"/>
        <w:left w:val="none" w:sz="0" w:space="0" w:color="auto"/>
        <w:bottom w:val="none" w:sz="0" w:space="0" w:color="auto"/>
        <w:right w:val="none" w:sz="0" w:space="0" w:color="auto"/>
      </w:divBdr>
      <w:divsChild>
        <w:div w:id="117190565">
          <w:marLeft w:val="0"/>
          <w:marRight w:val="0"/>
          <w:marTop w:val="0"/>
          <w:marBottom w:val="0"/>
          <w:divBdr>
            <w:top w:val="none" w:sz="0" w:space="0" w:color="auto"/>
            <w:left w:val="none" w:sz="0" w:space="0" w:color="auto"/>
            <w:bottom w:val="none" w:sz="0" w:space="0" w:color="auto"/>
            <w:right w:val="none" w:sz="0" w:space="0" w:color="auto"/>
          </w:divBdr>
        </w:div>
      </w:divsChild>
    </w:div>
    <w:div w:id="1961839592">
      <w:marLeft w:val="0"/>
      <w:marRight w:val="0"/>
      <w:marTop w:val="0"/>
      <w:marBottom w:val="0"/>
      <w:divBdr>
        <w:top w:val="none" w:sz="0" w:space="0" w:color="auto"/>
        <w:left w:val="none" w:sz="0" w:space="0" w:color="auto"/>
        <w:bottom w:val="none" w:sz="0" w:space="0" w:color="auto"/>
        <w:right w:val="none" w:sz="0" w:space="0" w:color="auto"/>
      </w:divBdr>
      <w:divsChild>
        <w:div w:id="1425567154">
          <w:marLeft w:val="0"/>
          <w:marRight w:val="0"/>
          <w:marTop w:val="0"/>
          <w:marBottom w:val="0"/>
          <w:divBdr>
            <w:top w:val="none" w:sz="0" w:space="0" w:color="auto"/>
            <w:left w:val="none" w:sz="0" w:space="0" w:color="auto"/>
            <w:bottom w:val="none" w:sz="0" w:space="0" w:color="auto"/>
            <w:right w:val="none" w:sz="0" w:space="0" w:color="auto"/>
          </w:divBdr>
        </w:div>
      </w:divsChild>
    </w:div>
    <w:div w:id="2098477338">
      <w:marLeft w:val="0"/>
      <w:marRight w:val="0"/>
      <w:marTop w:val="0"/>
      <w:marBottom w:val="0"/>
      <w:divBdr>
        <w:top w:val="none" w:sz="0" w:space="0" w:color="auto"/>
        <w:left w:val="none" w:sz="0" w:space="0" w:color="auto"/>
        <w:bottom w:val="none" w:sz="0" w:space="0" w:color="auto"/>
        <w:right w:val="none" w:sz="0" w:space="0" w:color="auto"/>
      </w:divBdr>
      <w:divsChild>
        <w:div w:id="371074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14F03-D3B8-4771-A06D-E81D651B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1</cp:revision>
  <cp:lastPrinted>2025-08-07T05:43:00Z</cp:lastPrinted>
  <dcterms:created xsi:type="dcterms:W3CDTF">2025-08-07T05:14:00Z</dcterms:created>
  <dcterms:modified xsi:type="dcterms:W3CDTF">2025-08-07T06:14:00Z</dcterms:modified>
</cp:coreProperties>
</file>