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Compliance Clarifications &amp; Outstanding Items – RX Access for Carved-Out Members</w:t>
      </w:r>
    </w:p>
    <w:p>
      <w:r>
        <w:t>Following our recent Architecture Walkthrough and subsequent clarifications, this document summarizes all issues requiring compliance guidance or confirmation. It captures:</w:t>
        <w:br/>
        <w:br/>
        <w:t>1. Items Identified by Compliance / Requiring Clarification</w:t>
        <w:br/>
        <w:t>2. Outstanding Items Raised by Architecture &amp; Engineering</w:t>
        <w:br/>
        <w:t>3. Rules that Have Changed Since the Original Document (and potential misses)</w:t>
        <w:br/>
        <w:t>4. Comparison Table (Original vs. Changed vs. Outstanding)</w:t>
      </w:r>
    </w:p>
    <w:p>
      <w:pPr>
        <w:pStyle w:val="Heading2"/>
      </w:pPr>
      <w:r>
        <w:t>1. Compliance-Identified Issues</w:t>
      </w:r>
    </w:p>
    <w:p>
      <w:pPr>
        <w:pStyle w:val="ListBullet"/>
      </w:pPr>
      <w:r>
        <w:t>Consolidated Claims Must Be Addressed – filtering must be enforced so no pre-effective date claims are displayed.</w:t>
      </w:r>
    </w:p>
    <w:p>
      <w:pPr>
        <w:pStyle w:val="ListBullet"/>
      </w:pPr>
      <w:r>
        <w:t>Prescription Management Must Remain Available – members must continue to refill even if prescription originated prior to effective date.</w:t>
      </w:r>
    </w:p>
    <w:p>
      <w:pPr>
        <w:pStyle w:val="ListBullet"/>
      </w:pPr>
      <w:r>
        <w:t>North Carolina Concern – Privacy/Proprietary Fee Data – claims prior to effective date cannot be displayed to avoid proprietary pricing exposure.</w:t>
      </w:r>
    </w:p>
    <w:p>
      <w:pPr>
        <w:pStyle w:val="ListBullet"/>
      </w:pPr>
      <w:r>
        <w:t>Permitted Visibility in PLP/PDP – members may see prescriptions originated before coverage if actively refillable, including associated pricing.</w:t>
      </w:r>
    </w:p>
    <w:p>
      <w:pPr>
        <w:pStyle w:val="Heading2"/>
      </w:pPr>
      <w:r>
        <w:t>2. Outstanding Items</w:t>
      </w:r>
    </w:p>
    <w:p>
      <w:pPr>
        <w:pStyle w:val="ListBullet"/>
      </w:pPr>
      <w:r>
        <w:t>Which date to use as eligibility determinant: last fill vs. original prescription.</w:t>
      </w:r>
    </w:p>
    <w:p>
      <w:pPr>
        <w:pStyle w:val="ListBullet"/>
      </w:pPr>
      <w:r>
        <w:t>Handling of refills straddling coverage boundary.</w:t>
      </w:r>
    </w:p>
    <w:p>
      <w:pPr>
        <w:pStyle w:val="ListBullet"/>
      </w:pPr>
      <w:r>
        <w:t>Confirmation of termed coverage toggle behavior (CVSRxCarveOut=false once termed).</w:t>
      </w:r>
    </w:p>
    <w:p>
      <w:pPr>
        <w:pStyle w:val="ListBullet"/>
      </w:pPr>
      <w:r>
        <w:t>Suppression rules for inactive historic prescriptions in PLP/PDP.</w:t>
      </w:r>
    </w:p>
    <w:p>
      <w:pPr>
        <w:pStyle w:val="ListBullet"/>
      </w:pPr>
      <w:r>
        <w:t>Application of filtering to CVS financial summary API if integrated.</w:t>
      </w:r>
    </w:p>
    <w:p>
      <w:pPr>
        <w:pStyle w:val="ListBullet"/>
      </w:pPr>
      <w:r>
        <w:t>Authoritative source for effective dates: Aetna Eligibility vs. CVS token.</w:t>
      </w:r>
    </w:p>
    <w:p>
      <w:pPr>
        <w:pStyle w:val="Heading2"/>
      </w:pPr>
      <w:r>
        <w:t>3. Rules Changed Since Original Document</w:t>
      </w:r>
    </w:p>
    <w:p>
      <w:pPr>
        <w:pStyle w:val="ListBullet"/>
      </w:pPr>
      <w:r>
        <w:t>Original scope (NGX-F215343): centralized Policy Effective Window Filter applied across all services.</w:t>
      </w:r>
    </w:p>
    <w:p>
      <w:pPr>
        <w:pStyle w:val="ListBullet"/>
      </w:pPr>
      <w:r>
        <w:t>Change: Compliance narrowed scope to Consolidated Claims only.</w:t>
      </w:r>
    </w:p>
    <w:p>
      <w:pPr>
        <w:pStyle w:val="ListBullet"/>
      </w:pPr>
      <w:r>
        <w:t>Later clarification: likely need to apply PLP/PDP filtering as well to prevent privacy issues.</w:t>
      </w:r>
    </w:p>
    <w:p>
      <w:pPr>
        <w:pStyle w:val="ListBullet"/>
      </w:pPr>
      <w:r>
        <w:t>New: Termed member toggle enforcement (CVSRxCarveOut=false).</w:t>
      </w:r>
    </w:p>
    <w:p>
      <w:pPr>
        <w:pStyle w:val="ListBullet"/>
      </w:pPr>
      <w:r>
        <w:t>New: Last fill date adopted as determining factor.</w:t>
      </w:r>
    </w:p>
    <w:p>
      <w:pPr>
        <w:pStyle w:val="ListBullet"/>
      </w:pPr>
      <w:r>
        <w:t>New: Recognition that CVS token provides per-dependent coverageEffectiveDate, eliminating need for lowest-common-date logic.</w:t>
      </w:r>
    </w:p>
    <w:p>
      <w:pPr>
        <w:pStyle w:val="Heading2"/>
      </w:pPr>
      <w:r>
        <w:t>4. Comparison Table – Original vs. Changed vs. Outstanding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Rule Area</w:t>
            </w:r>
          </w:p>
        </w:tc>
        <w:tc>
          <w:tcPr>
            <w:tcW w:type="dxa" w:w="2160"/>
          </w:tcPr>
          <w:p>
            <w:r>
              <w:t>Original (NGX-F215343)</w:t>
            </w:r>
          </w:p>
        </w:tc>
        <w:tc>
          <w:tcPr>
            <w:tcW w:type="dxa" w:w="2160"/>
          </w:tcPr>
          <w:p>
            <w:r>
              <w:t>Changed / New</w:t>
            </w:r>
          </w:p>
        </w:tc>
        <w:tc>
          <w:tcPr>
            <w:tcW w:type="dxa" w:w="2160"/>
          </w:tcPr>
          <w:p>
            <w:r>
              <w:t>Outstanding Clarification Needed</w:t>
            </w:r>
          </w:p>
        </w:tc>
      </w:tr>
      <w:tr>
        <w:tc>
          <w:tcPr>
            <w:tcW w:type="dxa" w:w="2160"/>
          </w:tcPr>
          <w:p>
            <w:r>
              <w:t>Scope of Filtering</w:t>
            </w:r>
          </w:p>
        </w:tc>
        <w:tc>
          <w:tcPr>
            <w:tcW w:type="dxa" w:w="2160"/>
          </w:tcPr>
          <w:p>
            <w:r>
              <w:t>Centralized filter applied to all surfaces (PLP, PDP, Place Order, Ship Consent, i90).</w:t>
            </w:r>
          </w:p>
        </w:tc>
        <w:tc>
          <w:tcPr>
            <w:tcW w:type="dxa" w:w="2160"/>
          </w:tcPr>
          <w:p>
            <w:r>
              <w:t>Compliance limited scope initially to Consolidated Claims only; later discussions reopened PLP/PDP filtering need.</w:t>
            </w:r>
          </w:p>
        </w:tc>
        <w:tc>
          <w:tcPr>
            <w:tcW w:type="dxa" w:w="2160"/>
          </w:tcPr>
          <w:p>
            <w:r>
              <w:t>Confirm final scope: Consolidated Claims only, or also PLP/PDP.</w:t>
            </w:r>
          </w:p>
        </w:tc>
      </w:tr>
      <w:tr>
        <w:tc>
          <w:tcPr>
            <w:tcW w:type="dxa" w:w="2160"/>
          </w:tcPr>
          <w:p>
            <w:r>
              <w:t>Prescription Management</w:t>
            </w:r>
          </w:p>
        </w:tc>
        <w:tc>
          <w:tcPr>
            <w:tcW w:type="dxa" w:w="2160"/>
          </w:tcPr>
          <w:p>
            <w:r>
              <w:t>Would have been restricted in-window only.</w:t>
            </w:r>
          </w:p>
        </w:tc>
        <w:tc>
          <w:tcPr>
            <w:tcW w:type="dxa" w:w="2160"/>
          </w:tcPr>
          <w:p>
            <w:r>
              <w:t>Compliance requires full continuity of prescription management (refills, renewals) even before effective date.</w:t>
            </w:r>
          </w:p>
        </w:tc>
        <w:tc>
          <w:tcPr>
            <w:tcW w:type="dxa" w:w="2160"/>
          </w:tcPr>
          <w:p>
            <w:r>
              <w:t>Confirm display rules for historic but inactive prescriptions.</w:t>
            </w:r>
          </w:p>
        </w:tc>
      </w:tr>
      <w:tr>
        <w:tc>
          <w:tcPr>
            <w:tcW w:type="dxa" w:w="2160"/>
          </w:tcPr>
          <w:p>
            <w:r>
              <w:t>Date Determinant</w:t>
            </w:r>
          </w:p>
        </w:tc>
        <w:tc>
          <w:tcPr>
            <w:tcW w:type="dxa" w:w="2160"/>
          </w:tcPr>
          <w:p>
            <w:r>
              <w:t>Not explicitly stated; assumed effective date of plan.</w:t>
            </w:r>
          </w:p>
        </w:tc>
        <w:tc>
          <w:tcPr>
            <w:tcW w:type="dxa" w:w="2160"/>
          </w:tcPr>
          <w:p>
            <w:r>
              <w:t>Moved to last fill date as determinant for display/refill.</w:t>
            </w:r>
          </w:p>
        </w:tc>
        <w:tc>
          <w:tcPr>
            <w:tcW w:type="dxa" w:w="2160"/>
          </w:tcPr>
          <w:p>
            <w:r>
              <w:t>Confirm use of last fill date vs. original prescription date.</w:t>
            </w:r>
          </w:p>
        </w:tc>
      </w:tr>
      <w:tr>
        <w:tc>
          <w:tcPr>
            <w:tcW w:type="dxa" w:w="2160"/>
          </w:tcPr>
          <w:p>
            <w:r>
              <w:t>Refills Across Boundaries</w:t>
            </w:r>
          </w:p>
        </w:tc>
        <w:tc>
          <w:tcPr>
            <w:tcW w:type="dxa" w:w="2160"/>
          </w:tcPr>
          <w:p>
            <w:r>
              <w:t>No explicit handling.</w:t>
            </w:r>
          </w:p>
        </w:tc>
        <w:tc>
          <w:tcPr>
            <w:tcW w:type="dxa" w:w="2160"/>
          </w:tcPr>
          <w:p>
            <w:r>
              <w:t>Proposed: exclude pre-coverage refills, include once refilled under active coverage.</w:t>
            </w:r>
          </w:p>
        </w:tc>
        <w:tc>
          <w:tcPr>
            <w:tcW w:type="dxa" w:w="2160"/>
          </w:tcPr>
          <w:p>
            <w:r>
              <w:t>Confirm compliance acceptance of this compromise.</w:t>
            </w:r>
          </w:p>
        </w:tc>
      </w:tr>
      <w:tr>
        <w:tc>
          <w:tcPr>
            <w:tcW w:type="dxa" w:w="2160"/>
          </w:tcPr>
          <w:p>
            <w:r>
              <w:t>Termed Members</w:t>
            </w:r>
          </w:p>
        </w:tc>
        <w:tc>
          <w:tcPr>
            <w:tcW w:type="dxa" w:w="2160"/>
          </w:tcPr>
          <w:p>
            <w:r>
              <w:t>Not explicitly addressed.</w:t>
            </w:r>
          </w:p>
        </w:tc>
        <w:tc>
          <w:tcPr>
            <w:tcW w:type="dxa" w:w="2160"/>
          </w:tcPr>
          <w:p>
            <w:r>
              <w:t>New rule: when termed, CVSRxCarveOut = false → no RX data visible.</w:t>
            </w:r>
          </w:p>
        </w:tc>
        <w:tc>
          <w:tcPr>
            <w:tcW w:type="dxa" w:w="2160"/>
          </w:tcPr>
          <w:p>
            <w:r>
              <w:t>Confirm this satisfies compliance.</w:t>
            </w:r>
          </w:p>
        </w:tc>
      </w:tr>
      <w:tr>
        <w:tc>
          <w:tcPr>
            <w:tcW w:type="dxa" w:w="2160"/>
          </w:tcPr>
          <w:p>
            <w:r>
              <w:t>Data Source for Effective Dates</w:t>
            </w:r>
          </w:p>
        </w:tc>
        <w:tc>
          <w:tcPr>
            <w:tcW w:type="dxa" w:w="2160"/>
          </w:tcPr>
          <w:p>
            <w:r>
              <w:t>Eligibility service assumed as source of truth.</w:t>
            </w:r>
          </w:p>
        </w:tc>
        <w:tc>
          <w:tcPr>
            <w:tcW w:type="dxa" w:w="2160"/>
          </w:tcPr>
          <w:p>
            <w:r>
              <w:t>CVS token already returns coverageEffectiveDate per member.</w:t>
            </w:r>
          </w:p>
        </w:tc>
        <w:tc>
          <w:tcPr>
            <w:tcW w:type="dxa" w:w="2160"/>
          </w:tcPr>
          <w:p>
            <w:r>
              <w:t>Decide which source is authoritative for compliance.</w:t>
            </w:r>
          </w:p>
        </w:tc>
      </w:tr>
      <w:tr>
        <w:tc>
          <w:tcPr>
            <w:tcW w:type="dxa" w:w="2160"/>
          </w:tcPr>
          <w:p>
            <w:r>
              <w:t>Financial Summary API</w:t>
            </w:r>
          </w:p>
        </w:tc>
        <w:tc>
          <w:tcPr>
            <w:tcW w:type="dxa" w:w="2160"/>
          </w:tcPr>
          <w:p>
            <w:r>
              <w:t>Not in original scope.</w:t>
            </w:r>
          </w:p>
        </w:tc>
        <w:tc>
          <w:tcPr>
            <w:tcW w:type="dxa" w:w="2160"/>
          </w:tcPr>
          <w:p>
            <w:r>
              <w:t>CVS pushing for integration; filtering would apply similarly.</w:t>
            </w:r>
          </w:p>
        </w:tc>
        <w:tc>
          <w:tcPr>
            <w:tcW w:type="dxa" w:w="2160"/>
          </w:tcPr>
          <w:p>
            <w:r>
              <w:t>Confirm compliance requires filtering on this API as well.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