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23161" w14:textId="77777777" w:rsidR="00156509" w:rsidRDefault="00000000">
      <w:pPr>
        <w:pStyle w:val="Heading1"/>
      </w:pPr>
      <w:r>
        <w:t>Compliance Clarification Issues – RX Access for Carved-Out Members</w:t>
      </w:r>
    </w:p>
    <w:p w14:paraId="330D4236" w14:textId="77777777" w:rsidR="00156509" w:rsidRDefault="00000000">
      <w:r>
        <w:t>This document isolates the compliance-related issues arising from the Architecture Walkthrough and NGX-F215343 updates. Each issue is presented with a clear description, its implications, and the specific compliance clarification requested. The focus is on data handling, HIPAA, privacy, and legal considerations requiring regulatory sign-off.</w:t>
      </w:r>
    </w:p>
    <w:p w14:paraId="1EB1E1A5" w14:textId="77777777" w:rsidR="00156509" w:rsidRDefault="00000000">
      <w:pPr>
        <w:pStyle w:val="Heading2"/>
      </w:pPr>
      <w:r>
        <w:t>Issue 1: Consolidated Claims Filtering</w:t>
      </w:r>
    </w:p>
    <w:p w14:paraId="292A2A1F" w14:textId="77777777" w:rsidR="00156509" w:rsidRDefault="00000000">
      <w:r w:rsidRPr="00E945DC">
        <w:rPr>
          <w:b/>
          <w:bCs/>
        </w:rPr>
        <w:t>Description</w:t>
      </w:r>
      <w:r>
        <w:t xml:space="preserve">: </w:t>
      </w:r>
      <w:r w:rsidRPr="00E945DC">
        <w:rPr>
          <w:i/>
          <w:iCs/>
        </w:rPr>
        <w:t>Claims retrieved via the Consolidated Claims Service include fills that may pre-date a member’s Aetna coverage. Without filtering, members can see pharmacy history from prior insurers (e.g., Blue Cross) within Aetna Health.</w:t>
      </w:r>
    </w:p>
    <w:p w14:paraId="0536D9F5" w14:textId="77777777" w:rsidR="00865CAE" w:rsidRPr="00A258F3" w:rsidRDefault="00000000">
      <w:r w:rsidRPr="00A258F3">
        <w:rPr>
          <w:b/>
          <w:bCs/>
        </w:rPr>
        <w:t>Implications</w:t>
      </w:r>
      <w:r w:rsidRPr="00A258F3">
        <w:t>:</w:t>
      </w:r>
    </w:p>
    <w:p w14:paraId="4EF484C7" w14:textId="416FF5AC" w:rsidR="00865CAE" w:rsidRDefault="00000000" w:rsidP="005046C5">
      <w:pPr>
        <w:pStyle w:val="ListParagraph"/>
        <w:numPr>
          <w:ilvl w:val="0"/>
          <w:numId w:val="12"/>
        </w:numPr>
      </w:pPr>
      <w:r>
        <w:t>Data: Risk of displaying data outside Aetna’s coverage responsibility.</w:t>
      </w:r>
    </w:p>
    <w:p w14:paraId="4F841EC5" w14:textId="33B6A92E" w:rsidR="00865CAE" w:rsidRDefault="00000000" w:rsidP="005046C5">
      <w:pPr>
        <w:pStyle w:val="ListParagraph"/>
        <w:numPr>
          <w:ilvl w:val="0"/>
          <w:numId w:val="12"/>
        </w:numPr>
      </w:pPr>
      <w:r>
        <w:t>HIPAA/Privacy: Exposure of protected health information (PHI) that Aetna should not present.</w:t>
      </w:r>
    </w:p>
    <w:p w14:paraId="519E9D0F" w14:textId="1E530218" w:rsidR="00156509" w:rsidRDefault="00000000" w:rsidP="005046C5">
      <w:pPr>
        <w:pStyle w:val="ListParagraph"/>
        <w:numPr>
          <w:ilvl w:val="0"/>
          <w:numId w:val="12"/>
        </w:numPr>
      </w:pPr>
      <w:r>
        <w:t>Legal: Potential violation of contractual firewall restrictions with other carriers (e.g., proprietary fee schedules).</w:t>
      </w:r>
    </w:p>
    <w:p w14:paraId="4CFC3253" w14:textId="77777777" w:rsidR="00156509" w:rsidRDefault="00000000">
      <w:r w:rsidRPr="005046C5">
        <w:rPr>
          <w:b/>
          <w:bCs/>
        </w:rPr>
        <w:t>Compliance Clarification Requested</w:t>
      </w:r>
      <w:r>
        <w:t>: Confirm that filtering is mandatory for Consolidated Claims to exclude all pre-effective date claims.</w:t>
      </w:r>
    </w:p>
    <w:p w14:paraId="022366E2" w14:textId="77777777" w:rsidR="00156509" w:rsidRDefault="00000000">
      <w:pPr>
        <w:pStyle w:val="Heading2"/>
      </w:pPr>
      <w:r>
        <w:t>Issue 2: Prescription Management Continuity</w:t>
      </w:r>
    </w:p>
    <w:p w14:paraId="232E9F94" w14:textId="77777777" w:rsidR="00156509" w:rsidRDefault="00000000">
      <w:r w:rsidRPr="00E945DC">
        <w:rPr>
          <w:b/>
          <w:bCs/>
        </w:rPr>
        <w:t>Description</w:t>
      </w:r>
      <w:r>
        <w:t xml:space="preserve">: </w:t>
      </w:r>
      <w:r w:rsidRPr="00E945DC">
        <w:rPr>
          <w:i/>
          <w:iCs/>
        </w:rPr>
        <w:t>Members carved out to CVS can refill prescriptions prior to their Aetna effective date. Compliance has indicated this functionality must remain available to ensure continuity of care.</w:t>
      </w:r>
    </w:p>
    <w:p w14:paraId="222E2DE8" w14:textId="77777777" w:rsidR="00865CAE" w:rsidRPr="00E945DC" w:rsidRDefault="00000000">
      <w:pPr>
        <w:rPr>
          <w:b/>
          <w:bCs/>
          <w:u w:val="single"/>
        </w:rPr>
      </w:pPr>
      <w:r w:rsidRPr="00A258F3">
        <w:rPr>
          <w:b/>
          <w:bCs/>
        </w:rPr>
        <w:t>Implications</w:t>
      </w:r>
      <w:r w:rsidRPr="00E945DC">
        <w:rPr>
          <w:b/>
          <w:bCs/>
          <w:u w:val="single"/>
        </w:rPr>
        <w:t>:</w:t>
      </w:r>
    </w:p>
    <w:p w14:paraId="0B43E958" w14:textId="512FA963" w:rsidR="00865CAE" w:rsidRDefault="00000000" w:rsidP="005046C5">
      <w:pPr>
        <w:pStyle w:val="ListParagraph"/>
        <w:numPr>
          <w:ilvl w:val="0"/>
          <w:numId w:val="15"/>
        </w:numPr>
      </w:pPr>
      <w:r>
        <w:t>Data: Prescriptions may display with dates predating Aetna coverage.</w:t>
      </w:r>
    </w:p>
    <w:p w14:paraId="20099282" w14:textId="1EE66405" w:rsidR="00865CAE" w:rsidRDefault="00000000" w:rsidP="005046C5">
      <w:pPr>
        <w:pStyle w:val="ListParagraph"/>
        <w:numPr>
          <w:ilvl w:val="0"/>
          <w:numId w:val="15"/>
        </w:numPr>
      </w:pPr>
      <w:r>
        <w:t>HIPAA/Privacy: Potential overlap with financial/claims information that Aetna should not show.</w:t>
      </w:r>
    </w:p>
    <w:p w14:paraId="4EACC270" w14:textId="289DF25B" w:rsidR="00156509" w:rsidRDefault="00000000" w:rsidP="005046C5">
      <w:pPr>
        <w:pStyle w:val="ListParagraph"/>
        <w:numPr>
          <w:ilvl w:val="0"/>
          <w:numId w:val="15"/>
        </w:numPr>
      </w:pPr>
      <w:r>
        <w:t>Legal: Balances need for continuity of care with restrictions on historical claim data.</w:t>
      </w:r>
    </w:p>
    <w:p w14:paraId="54AC3314" w14:textId="77777777" w:rsidR="00156509" w:rsidRDefault="00000000">
      <w:r w:rsidRPr="00E945DC">
        <w:rPr>
          <w:b/>
          <w:bCs/>
        </w:rPr>
        <w:t xml:space="preserve">Compliance Clarification Requested: </w:t>
      </w:r>
      <w:r>
        <w:t>Confirm boundary – allow prescription management for continuity, but restrict any financial/claim-like information from being shown prior to effective date.</w:t>
      </w:r>
    </w:p>
    <w:p w14:paraId="6D3071C9" w14:textId="77777777" w:rsidR="00156509" w:rsidRDefault="00000000">
      <w:pPr>
        <w:pStyle w:val="Heading2"/>
      </w:pPr>
      <w:r>
        <w:t>Issue 3: North Carolina Case – Proprietary Pricing Exposure</w:t>
      </w:r>
    </w:p>
    <w:p w14:paraId="768A1EF5" w14:textId="77777777" w:rsidR="00156509" w:rsidRDefault="00000000">
      <w:r w:rsidRPr="00E945DC">
        <w:rPr>
          <w:b/>
          <w:bCs/>
        </w:rPr>
        <w:t>Description</w:t>
      </w:r>
      <w:r>
        <w:t xml:space="preserve">: </w:t>
      </w:r>
      <w:r w:rsidRPr="00E945DC">
        <w:rPr>
          <w:i/>
          <w:iCs/>
        </w:rPr>
        <w:t>State of North Carolina objected to members being able to see pre-Aetna claims that revealed proprietary pricing data. Even though Aetna does not persist CVS data, visibility created a perception of firewall breach.</w:t>
      </w:r>
    </w:p>
    <w:p w14:paraId="646732A3" w14:textId="77777777" w:rsidR="00865CAE" w:rsidRDefault="00000000">
      <w:r w:rsidRPr="00A258F3">
        <w:rPr>
          <w:b/>
          <w:bCs/>
        </w:rPr>
        <w:t>Implications</w:t>
      </w:r>
      <w:r>
        <w:t>:</w:t>
      </w:r>
    </w:p>
    <w:p w14:paraId="5510C0DE" w14:textId="66D3DCB5" w:rsidR="00865CAE" w:rsidRDefault="00000000" w:rsidP="00D85BD2">
      <w:pPr>
        <w:pStyle w:val="ListParagraph"/>
        <w:numPr>
          <w:ilvl w:val="0"/>
          <w:numId w:val="18"/>
        </w:numPr>
      </w:pPr>
      <w:r>
        <w:lastRenderedPageBreak/>
        <w:t>Data: Proprietary fee schedules are inadvertently exposed.</w:t>
      </w:r>
    </w:p>
    <w:p w14:paraId="3B15D4C4" w14:textId="0C3441A6" w:rsidR="00865CAE" w:rsidRDefault="00000000" w:rsidP="00D85BD2">
      <w:pPr>
        <w:pStyle w:val="ListParagraph"/>
        <w:numPr>
          <w:ilvl w:val="0"/>
          <w:numId w:val="18"/>
        </w:numPr>
      </w:pPr>
      <w:r>
        <w:t>HIPAA/Privacy: Members may view claim-level PHI that Aetna should not disclose.</w:t>
      </w:r>
    </w:p>
    <w:p w14:paraId="2BD28F6C" w14:textId="1A06572F" w:rsidR="00156509" w:rsidRDefault="00000000" w:rsidP="00D85BD2">
      <w:pPr>
        <w:pStyle w:val="ListParagraph"/>
        <w:numPr>
          <w:ilvl w:val="0"/>
          <w:numId w:val="18"/>
        </w:numPr>
      </w:pPr>
      <w:r>
        <w:t>Legal: Breach of market competition firewall between Aetna and CVS; reputational risk.</w:t>
      </w:r>
    </w:p>
    <w:p w14:paraId="47D4E3CC" w14:textId="77777777" w:rsidR="00156509" w:rsidRDefault="00000000">
      <w:r>
        <w:t>Compliance Clarification Requested: Confirm absolute prohibition on displaying pre-effective date claims in Consolidated Claims or any other surfaces.</w:t>
      </w:r>
    </w:p>
    <w:p w14:paraId="4D33E07A" w14:textId="77777777" w:rsidR="00156509" w:rsidRDefault="00000000">
      <w:pPr>
        <w:pStyle w:val="Heading2"/>
      </w:pPr>
      <w:r>
        <w:t>Issue 4: Determining Effective Date (Last Fill vs. Original)</w:t>
      </w:r>
    </w:p>
    <w:p w14:paraId="5A377A37" w14:textId="77777777" w:rsidR="00156509" w:rsidRDefault="00000000">
      <w:r w:rsidRPr="00A44AC8">
        <w:rPr>
          <w:b/>
          <w:bCs/>
        </w:rPr>
        <w:t>Description</w:t>
      </w:r>
      <w:r>
        <w:t xml:space="preserve">: </w:t>
      </w:r>
      <w:r w:rsidRPr="00A258F3">
        <w:rPr>
          <w:i/>
          <w:iCs/>
        </w:rPr>
        <w:t>Ambiguity exists on whether eligibility should be determined by the original prescription date or the last fill date. Current consensus is to use the last fill date.</w:t>
      </w:r>
    </w:p>
    <w:p w14:paraId="67FC0946" w14:textId="77777777" w:rsidR="00865CAE" w:rsidRDefault="00000000">
      <w:r w:rsidRPr="002943EC">
        <w:rPr>
          <w:b/>
          <w:bCs/>
        </w:rPr>
        <w:t>Implications</w:t>
      </w:r>
      <w:r>
        <w:t>:</w:t>
      </w:r>
    </w:p>
    <w:p w14:paraId="5C25A525" w14:textId="48A54188" w:rsidR="00865CAE" w:rsidRDefault="00000000" w:rsidP="00602800">
      <w:pPr>
        <w:pStyle w:val="ListParagraph"/>
        <w:numPr>
          <w:ilvl w:val="0"/>
          <w:numId w:val="19"/>
        </w:numPr>
      </w:pPr>
      <w:r>
        <w:t>Data: Determines whether prescriptions crossing coverage boundaries appear.</w:t>
      </w:r>
    </w:p>
    <w:p w14:paraId="6DC47B90" w14:textId="50B3ED3A" w:rsidR="00865CAE" w:rsidRDefault="00000000" w:rsidP="00602800">
      <w:pPr>
        <w:pStyle w:val="ListParagraph"/>
        <w:numPr>
          <w:ilvl w:val="0"/>
          <w:numId w:val="19"/>
        </w:numPr>
      </w:pPr>
      <w:r>
        <w:t>HIPAA/Privacy: Risk of showing PHI tied to prior coverage if wrong date is used.</w:t>
      </w:r>
    </w:p>
    <w:p w14:paraId="1D587E47" w14:textId="3A122613" w:rsidR="00156509" w:rsidRDefault="00000000" w:rsidP="00602800">
      <w:pPr>
        <w:pStyle w:val="ListParagraph"/>
        <w:numPr>
          <w:ilvl w:val="0"/>
          <w:numId w:val="19"/>
        </w:numPr>
      </w:pPr>
      <w:r>
        <w:t>Legal: Incorrect handling could create disputes with plan sponsors and regulators.</w:t>
      </w:r>
    </w:p>
    <w:p w14:paraId="66F12BA7" w14:textId="77777777" w:rsidR="00156509" w:rsidRDefault="00000000">
      <w:r w:rsidRPr="00A44AC8">
        <w:rPr>
          <w:b/>
          <w:bCs/>
        </w:rPr>
        <w:t>Compliance Clarification Requested</w:t>
      </w:r>
      <w:r>
        <w:t>: Approve 'last fill date' as the determining factor for prescription visibility and refill eligibility.</w:t>
      </w:r>
    </w:p>
    <w:p w14:paraId="4D2498E8" w14:textId="77777777" w:rsidR="00156509" w:rsidRDefault="00000000">
      <w:pPr>
        <w:pStyle w:val="Heading2"/>
      </w:pPr>
      <w:r>
        <w:t>Issue 5: Refills Straddling Coverage Boundaries</w:t>
      </w:r>
    </w:p>
    <w:p w14:paraId="100AE40F" w14:textId="77777777" w:rsidR="00156509" w:rsidRDefault="00000000">
      <w:r w:rsidRPr="00FA3177">
        <w:rPr>
          <w:b/>
          <w:bCs/>
        </w:rPr>
        <w:t>Description</w:t>
      </w:r>
      <w:r>
        <w:t xml:space="preserve">: </w:t>
      </w:r>
      <w:r w:rsidRPr="00FA3177">
        <w:rPr>
          <w:i/>
          <w:iCs/>
        </w:rPr>
        <w:t>Prescriptions may originate prior to Aetna coverage but have remaining refills once coverage begins</w:t>
      </w:r>
      <w:r>
        <w:t>.</w:t>
      </w:r>
    </w:p>
    <w:p w14:paraId="1AE17A88" w14:textId="77777777" w:rsidR="00865CAE" w:rsidRDefault="00000000">
      <w:r w:rsidRPr="002859C4">
        <w:rPr>
          <w:b/>
          <w:bCs/>
        </w:rPr>
        <w:t>Implications</w:t>
      </w:r>
      <w:r>
        <w:t>:</w:t>
      </w:r>
    </w:p>
    <w:p w14:paraId="793147A8" w14:textId="30C78711" w:rsidR="00865CAE" w:rsidRDefault="00000000" w:rsidP="002859C4">
      <w:pPr>
        <w:pStyle w:val="ListParagraph"/>
        <w:numPr>
          <w:ilvl w:val="0"/>
          <w:numId w:val="19"/>
        </w:numPr>
      </w:pPr>
      <w:r>
        <w:t>Data: Ambiguity in eligibility for refills.</w:t>
      </w:r>
    </w:p>
    <w:p w14:paraId="228D60B0" w14:textId="63E1EFB2" w:rsidR="00865CAE" w:rsidRDefault="00000000" w:rsidP="002859C4">
      <w:pPr>
        <w:pStyle w:val="ListParagraph"/>
        <w:numPr>
          <w:ilvl w:val="0"/>
          <w:numId w:val="19"/>
        </w:numPr>
      </w:pPr>
      <w:r>
        <w:t>HIPAA/Privacy: Displaying pre-effective prescriptions could leak restricted information.</w:t>
      </w:r>
    </w:p>
    <w:p w14:paraId="0CDBDCE2" w14:textId="0D8048A0" w:rsidR="00156509" w:rsidRDefault="00000000" w:rsidP="002859C4">
      <w:pPr>
        <w:pStyle w:val="ListParagraph"/>
        <w:numPr>
          <w:ilvl w:val="0"/>
          <w:numId w:val="19"/>
        </w:numPr>
      </w:pPr>
      <w:r>
        <w:t>Legal: Compliance with NC-style objections depends on correct filtering.</w:t>
      </w:r>
    </w:p>
    <w:p w14:paraId="69B57DE0" w14:textId="77777777" w:rsidR="00156509" w:rsidRDefault="00000000">
      <w:r w:rsidRPr="002859C4">
        <w:rPr>
          <w:b/>
          <w:bCs/>
        </w:rPr>
        <w:t>Compliance Clarification Requested</w:t>
      </w:r>
      <w:r>
        <w:t>: Confirm that pre-effective refills must be suppressed until the prescription is refilled under active Aetna coverage.</w:t>
      </w:r>
    </w:p>
    <w:p w14:paraId="72AAE7EB" w14:textId="77777777" w:rsidR="00156509" w:rsidRDefault="00000000">
      <w:pPr>
        <w:pStyle w:val="Heading2"/>
      </w:pPr>
      <w:r>
        <w:t>Issue 6: Termed Coverage</w:t>
      </w:r>
    </w:p>
    <w:p w14:paraId="219011A4" w14:textId="77777777" w:rsidR="00156509" w:rsidRPr="00030E6B" w:rsidRDefault="00000000">
      <w:pPr>
        <w:rPr>
          <w:i/>
          <w:iCs/>
        </w:rPr>
      </w:pPr>
      <w:r w:rsidRPr="00030E6B">
        <w:rPr>
          <w:b/>
          <w:bCs/>
        </w:rPr>
        <w:t>Description</w:t>
      </w:r>
      <w:r>
        <w:t xml:space="preserve">: </w:t>
      </w:r>
      <w:r w:rsidRPr="00030E6B">
        <w:rPr>
          <w:i/>
          <w:iCs/>
        </w:rPr>
        <w:t>A toggle has been added so that once a member’s coverage is termed, CVSRxCarveOut is set to false, removing all prescription visibility in Aetna Health.</w:t>
      </w:r>
    </w:p>
    <w:p w14:paraId="6B64BD1A" w14:textId="77777777" w:rsidR="00865CAE" w:rsidRDefault="00000000">
      <w:r w:rsidRPr="00FA3177">
        <w:rPr>
          <w:b/>
          <w:bCs/>
        </w:rPr>
        <w:t>Implications</w:t>
      </w:r>
      <w:r>
        <w:t>:</w:t>
      </w:r>
    </w:p>
    <w:p w14:paraId="239B2E13" w14:textId="565DFF62" w:rsidR="00865CAE" w:rsidRDefault="00000000" w:rsidP="00FA3177">
      <w:pPr>
        <w:pStyle w:val="ListParagraph"/>
        <w:numPr>
          <w:ilvl w:val="0"/>
          <w:numId w:val="24"/>
        </w:numPr>
      </w:pPr>
      <w:r>
        <w:t>Data: Ensures data access is terminated promptly.</w:t>
      </w:r>
    </w:p>
    <w:p w14:paraId="1AA9031F" w14:textId="5C94E272" w:rsidR="00865CAE" w:rsidRDefault="00000000" w:rsidP="00FA3177">
      <w:pPr>
        <w:pStyle w:val="ListParagraph"/>
        <w:numPr>
          <w:ilvl w:val="0"/>
          <w:numId w:val="24"/>
        </w:numPr>
      </w:pPr>
      <w:r>
        <w:t>HIPAA/Privacy: Prevents unauthorized post-coverage access.</w:t>
      </w:r>
    </w:p>
    <w:p w14:paraId="2F019061" w14:textId="7981D63D" w:rsidR="00156509" w:rsidRDefault="00000000" w:rsidP="00FA3177">
      <w:pPr>
        <w:pStyle w:val="ListParagraph"/>
        <w:numPr>
          <w:ilvl w:val="0"/>
          <w:numId w:val="24"/>
        </w:numPr>
      </w:pPr>
      <w:r>
        <w:t>Legal: Aligns with contractual obligations to cease services upon termination.</w:t>
      </w:r>
    </w:p>
    <w:p w14:paraId="6A0C9DDF" w14:textId="77777777" w:rsidR="00156509" w:rsidRDefault="00000000">
      <w:r w:rsidRPr="00FA3177">
        <w:rPr>
          <w:b/>
          <w:bCs/>
        </w:rPr>
        <w:lastRenderedPageBreak/>
        <w:t>Compliance Clarification Requested</w:t>
      </w:r>
      <w:r>
        <w:t>: Confirm that this toggle satisfies compliance expectations for termed members.</w:t>
      </w:r>
    </w:p>
    <w:p w14:paraId="01115C8A" w14:textId="77777777" w:rsidR="00156509" w:rsidRDefault="00000000">
      <w:pPr>
        <w:pStyle w:val="Heading2"/>
      </w:pPr>
      <w:r>
        <w:t>Issue 7: CVS Financial Summary API</w:t>
      </w:r>
    </w:p>
    <w:p w14:paraId="1217DC86" w14:textId="4E294911" w:rsidR="00156509" w:rsidRPr="00030E6B" w:rsidRDefault="00000000">
      <w:pPr>
        <w:rPr>
          <w:i/>
          <w:iCs/>
        </w:rPr>
      </w:pPr>
      <w:r w:rsidRPr="00030E6B">
        <w:rPr>
          <w:b/>
          <w:bCs/>
        </w:rPr>
        <w:t>Description</w:t>
      </w:r>
      <w:r>
        <w:t xml:space="preserve">: </w:t>
      </w:r>
      <w:r w:rsidRPr="00030E6B">
        <w:rPr>
          <w:i/>
          <w:iCs/>
        </w:rPr>
        <w:t xml:space="preserve">CVS </w:t>
      </w:r>
      <w:r w:rsidR="00675538">
        <w:rPr>
          <w:i/>
          <w:iCs/>
        </w:rPr>
        <w:t xml:space="preserve">wants </w:t>
      </w:r>
      <w:r w:rsidRPr="00030E6B">
        <w:rPr>
          <w:i/>
          <w:iCs/>
        </w:rPr>
        <w:t>Aetna to integrate with their Financial Summary API, which includes claims-like financial information. If integrated, filtering rules will need to apply.</w:t>
      </w:r>
    </w:p>
    <w:p w14:paraId="7A10ED8E" w14:textId="77777777" w:rsidR="00865CAE" w:rsidRDefault="00000000">
      <w:r w:rsidRPr="00030E6B">
        <w:rPr>
          <w:b/>
          <w:bCs/>
        </w:rPr>
        <w:t>Implications</w:t>
      </w:r>
      <w:r>
        <w:t>:</w:t>
      </w:r>
    </w:p>
    <w:p w14:paraId="381843C9" w14:textId="2371B7EB" w:rsidR="00865CAE" w:rsidRDefault="00000000" w:rsidP="00030E6B">
      <w:pPr>
        <w:pStyle w:val="ListParagraph"/>
        <w:numPr>
          <w:ilvl w:val="0"/>
          <w:numId w:val="28"/>
        </w:numPr>
      </w:pPr>
      <w:r>
        <w:t>Data: Would introduce new surfaces where pre-effective claims could leak.</w:t>
      </w:r>
    </w:p>
    <w:p w14:paraId="4C067DA1" w14:textId="2678739F" w:rsidR="00865CAE" w:rsidRDefault="00000000" w:rsidP="00030E6B">
      <w:pPr>
        <w:pStyle w:val="ListParagraph"/>
        <w:numPr>
          <w:ilvl w:val="0"/>
          <w:numId w:val="28"/>
        </w:numPr>
      </w:pPr>
      <w:r>
        <w:t>HIPAA/Privacy: Financial summary data is PHI; requires same protections.</w:t>
      </w:r>
    </w:p>
    <w:p w14:paraId="3873B19C" w14:textId="38AC6230" w:rsidR="00156509" w:rsidRDefault="00000000" w:rsidP="00030E6B">
      <w:pPr>
        <w:pStyle w:val="ListParagraph"/>
        <w:numPr>
          <w:ilvl w:val="0"/>
          <w:numId w:val="28"/>
        </w:numPr>
      </w:pPr>
      <w:r>
        <w:t>Legal: Expansion of integration without filtering would create new compliance risks.</w:t>
      </w:r>
    </w:p>
    <w:p w14:paraId="4971841A" w14:textId="77777777" w:rsidR="00156509" w:rsidRDefault="00000000">
      <w:r w:rsidRPr="00030E6B">
        <w:rPr>
          <w:b/>
          <w:bCs/>
        </w:rPr>
        <w:t>Compliance Clarification Requested</w:t>
      </w:r>
      <w:r>
        <w:t>: Confirm whether Financial Summary API must be included under effective date filtering rules.</w:t>
      </w:r>
    </w:p>
    <w:p w14:paraId="22E5B41C" w14:textId="77777777" w:rsidR="00156509" w:rsidRDefault="00000000">
      <w:pPr>
        <w:pStyle w:val="Heading2"/>
      </w:pPr>
      <w:r>
        <w:t>Issue 8: Source of Effective Dates</w:t>
      </w:r>
    </w:p>
    <w:p w14:paraId="613B67C4" w14:textId="77777777" w:rsidR="00156509" w:rsidRDefault="00000000">
      <w:r w:rsidRPr="00030E6B">
        <w:rPr>
          <w:b/>
          <w:bCs/>
        </w:rPr>
        <w:t>Description</w:t>
      </w:r>
      <w:r>
        <w:t xml:space="preserve">: </w:t>
      </w:r>
      <w:r w:rsidRPr="00030E6B">
        <w:rPr>
          <w:i/>
          <w:iCs/>
        </w:rPr>
        <w:t>Effective dates may be retrieved from Aetna Eligibility Service or from CVS token responses (/getClaimsHistory includes coverageEffectiveDate</w:t>
      </w:r>
      <w:r>
        <w:t>).</w:t>
      </w:r>
    </w:p>
    <w:p w14:paraId="32252947" w14:textId="77777777" w:rsidR="00865CAE" w:rsidRDefault="00000000">
      <w:r w:rsidRPr="00030E6B">
        <w:rPr>
          <w:b/>
          <w:bCs/>
        </w:rPr>
        <w:t>Implications</w:t>
      </w:r>
      <w:r>
        <w:t>:</w:t>
      </w:r>
    </w:p>
    <w:p w14:paraId="510A5C6D" w14:textId="5C06F8A5" w:rsidR="00865CAE" w:rsidRDefault="00000000" w:rsidP="00030E6B">
      <w:pPr>
        <w:pStyle w:val="ListParagraph"/>
        <w:numPr>
          <w:ilvl w:val="0"/>
          <w:numId w:val="31"/>
        </w:numPr>
      </w:pPr>
      <w:r>
        <w:t>Data: Two competing sources may introduce inconsistency.</w:t>
      </w:r>
    </w:p>
    <w:p w14:paraId="338F3712" w14:textId="26585C40" w:rsidR="00865CAE" w:rsidRDefault="00000000" w:rsidP="00030E6B">
      <w:pPr>
        <w:pStyle w:val="ListParagraph"/>
        <w:numPr>
          <w:ilvl w:val="0"/>
          <w:numId w:val="31"/>
        </w:numPr>
      </w:pPr>
      <w:r>
        <w:t>HIPAA/Privacy: Incorrect source could result in showing restricted data.</w:t>
      </w:r>
    </w:p>
    <w:p w14:paraId="3F08C2FD" w14:textId="2FA36124" w:rsidR="00156509" w:rsidRDefault="00000000" w:rsidP="00030E6B">
      <w:pPr>
        <w:pStyle w:val="ListParagraph"/>
        <w:numPr>
          <w:ilvl w:val="0"/>
          <w:numId w:val="31"/>
        </w:numPr>
      </w:pPr>
      <w:r>
        <w:t>Legal: Establishing authoritative source is critical for defensibility in compliance audits.</w:t>
      </w:r>
    </w:p>
    <w:p w14:paraId="4E2D3641" w14:textId="77777777" w:rsidR="00156509" w:rsidRDefault="00000000">
      <w:r w:rsidRPr="00030E6B">
        <w:rPr>
          <w:b/>
          <w:bCs/>
        </w:rPr>
        <w:t>Compliance Clarification Requested</w:t>
      </w:r>
      <w:r>
        <w:t>: Identify which system (Aetna Eligibility vs. CVS token) is the authoritative source of effective dates for filtering.</w:t>
      </w:r>
    </w:p>
    <w:sectPr w:rsidR="001565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5B07C0"/>
    <w:multiLevelType w:val="hybridMultilevel"/>
    <w:tmpl w:val="5056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A6E25"/>
    <w:multiLevelType w:val="hybridMultilevel"/>
    <w:tmpl w:val="BF18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0442E"/>
    <w:multiLevelType w:val="hybridMultilevel"/>
    <w:tmpl w:val="D8C2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17706"/>
    <w:multiLevelType w:val="hybridMultilevel"/>
    <w:tmpl w:val="856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34099"/>
    <w:multiLevelType w:val="hybridMultilevel"/>
    <w:tmpl w:val="0E52D728"/>
    <w:lvl w:ilvl="0" w:tplc="4246D3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012DA"/>
    <w:multiLevelType w:val="hybridMultilevel"/>
    <w:tmpl w:val="01346AC0"/>
    <w:lvl w:ilvl="0" w:tplc="4246D3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034F6"/>
    <w:multiLevelType w:val="hybridMultilevel"/>
    <w:tmpl w:val="46BE4FDC"/>
    <w:lvl w:ilvl="0" w:tplc="4246D3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A5FE4"/>
    <w:multiLevelType w:val="hybridMultilevel"/>
    <w:tmpl w:val="1748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266E2"/>
    <w:multiLevelType w:val="hybridMultilevel"/>
    <w:tmpl w:val="8358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F3F2D"/>
    <w:multiLevelType w:val="hybridMultilevel"/>
    <w:tmpl w:val="BE54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F4904"/>
    <w:multiLevelType w:val="hybridMultilevel"/>
    <w:tmpl w:val="CCD80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540B7C"/>
    <w:multiLevelType w:val="hybridMultilevel"/>
    <w:tmpl w:val="D7AA55EA"/>
    <w:lvl w:ilvl="0" w:tplc="2018BC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F4489"/>
    <w:multiLevelType w:val="hybridMultilevel"/>
    <w:tmpl w:val="0106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4316E"/>
    <w:multiLevelType w:val="hybridMultilevel"/>
    <w:tmpl w:val="2070D3E2"/>
    <w:lvl w:ilvl="0" w:tplc="4246D3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6783F"/>
    <w:multiLevelType w:val="hybridMultilevel"/>
    <w:tmpl w:val="3150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B491D"/>
    <w:multiLevelType w:val="hybridMultilevel"/>
    <w:tmpl w:val="7A72E6BC"/>
    <w:lvl w:ilvl="0" w:tplc="4246D3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278A6"/>
    <w:multiLevelType w:val="hybridMultilevel"/>
    <w:tmpl w:val="2DE6472E"/>
    <w:lvl w:ilvl="0" w:tplc="4246D3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F7974"/>
    <w:multiLevelType w:val="hybridMultilevel"/>
    <w:tmpl w:val="76E4839A"/>
    <w:lvl w:ilvl="0" w:tplc="4246D3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B3900"/>
    <w:multiLevelType w:val="hybridMultilevel"/>
    <w:tmpl w:val="D64C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22BFD"/>
    <w:multiLevelType w:val="hybridMultilevel"/>
    <w:tmpl w:val="C3A0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2373D"/>
    <w:multiLevelType w:val="hybridMultilevel"/>
    <w:tmpl w:val="636469D6"/>
    <w:lvl w:ilvl="0" w:tplc="6316CA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D455E"/>
    <w:multiLevelType w:val="hybridMultilevel"/>
    <w:tmpl w:val="3FEEE0AC"/>
    <w:lvl w:ilvl="0" w:tplc="CB8A21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24307">
    <w:abstractNumId w:val="8"/>
  </w:num>
  <w:num w:numId="2" w16cid:durableId="1245452241">
    <w:abstractNumId w:val="6"/>
  </w:num>
  <w:num w:numId="3" w16cid:durableId="1293901298">
    <w:abstractNumId w:val="5"/>
  </w:num>
  <w:num w:numId="4" w16cid:durableId="535699636">
    <w:abstractNumId w:val="4"/>
  </w:num>
  <w:num w:numId="5" w16cid:durableId="690494286">
    <w:abstractNumId w:val="7"/>
  </w:num>
  <w:num w:numId="6" w16cid:durableId="1358115738">
    <w:abstractNumId w:val="3"/>
  </w:num>
  <w:num w:numId="7" w16cid:durableId="630400826">
    <w:abstractNumId w:val="2"/>
  </w:num>
  <w:num w:numId="8" w16cid:durableId="1731999724">
    <w:abstractNumId w:val="1"/>
  </w:num>
  <w:num w:numId="9" w16cid:durableId="2081977913">
    <w:abstractNumId w:val="0"/>
  </w:num>
  <w:num w:numId="10" w16cid:durableId="1243297392">
    <w:abstractNumId w:val="18"/>
  </w:num>
  <w:num w:numId="11" w16cid:durableId="2123839595">
    <w:abstractNumId w:val="29"/>
  </w:num>
  <w:num w:numId="12" w16cid:durableId="1412505500">
    <w:abstractNumId w:val="28"/>
  </w:num>
  <w:num w:numId="13" w16cid:durableId="1708943227">
    <w:abstractNumId w:val="16"/>
  </w:num>
  <w:num w:numId="14" w16cid:durableId="1147668108">
    <w:abstractNumId w:val="30"/>
  </w:num>
  <w:num w:numId="15" w16cid:durableId="230242204">
    <w:abstractNumId w:val="9"/>
  </w:num>
  <w:num w:numId="16" w16cid:durableId="1005598338">
    <w:abstractNumId w:val="21"/>
  </w:num>
  <w:num w:numId="17" w16cid:durableId="1264802435">
    <w:abstractNumId w:val="20"/>
  </w:num>
  <w:num w:numId="18" w16cid:durableId="1706371668">
    <w:abstractNumId w:val="23"/>
  </w:num>
  <w:num w:numId="19" w16cid:durableId="1821071336">
    <w:abstractNumId w:val="17"/>
  </w:num>
  <w:num w:numId="20" w16cid:durableId="1802647225">
    <w:abstractNumId w:val="15"/>
  </w:num>
  <w:num w:numId="21" w16cid:durableId="1132214001">
    <w:abstractNumId w:val="26"/>
  </w:num>
  <w:num w:numId="22" w16cid:durableId="1478064189">
    <w:abstractNumId w:val="14"/>
  </w:num>
  <w:num w:numId="23" w16cid:durableId="2082826748">
    <w:abstractNumId w:val="19"/>
  </w:num>
  <w:num w:numId="24" w16cid:durableId="347760546">
    <w:abstractNumId w:val="11"/>
  </w:num>
  <w:num w:numId="25" w16cid:durableId="272398832">
    <w:abstractNumId w:val="24"/>
  </w:num>
  <w:num w:numId="26" w16cid:durableId="1530412057">
    <w:abstractNumId w:val="22"/>
  </w:num>
  <w:num w:numId="27" w16cid:durableId="1781292789">
    <w:abstractNumId w:val="25"/>
  </w:num>
  <w:num w:numId="28" w16cid:durableId="1808276604">
    <w:abstractNumId w:val="27"/>
  </w:num>
  <w:num w:numId="29" w16cid:durableId="647176203">
    <w:abstractNumId w:val="10"/>
  </w:num>
  <w:num w:numId="30" w16cid:durableId="553198190">
    <w:abstractNumId w:val="13"/>
  </w:num>
  <w:num w:numId="31" w16cid:durableId="16164032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Q1N7IwNjc0NjY1NzdS0lEKTi0uzszPAykwrAUAdRt7jywAAAA="/>
  </w:docVars>
  <w:rsids>
    <w:rsidRoot w:val="00B47730"/>
    <w:rsid w:val="00030E6B"/>
    <w:rsid w:val="00034616"/>
    <w:rsid w:val="0006063C"/>
    <w:rsid w:val="0015074B"/>
    <w:rsid w:val="00156509"/>
    <w:rsid w:val="002859C4"/>
    <w:rsid w:val="002943EC"/>
    <w:rsid w:val="0029639D"/>
    <w:rsid w:val="00326F90"/>
    <w:rsid w:val="005046C5"/>
    <w:rsid w:val="00602800"/>
    <w:rsid w:val="00675538"/>
    <w:rsid w:val="006C5CC6"/>
    <w:rsid w:val="00865CAE"/>
    <w:rsid w:val="00A258F3"/>
    <w:rsid w:val="00A44AC8"/>
    <w:rsid w:val="00AA1D8D"/>
    <w:rsid w:val="00B47730"/>
    <w:rsid w:val="00CB0664"/>
    <w:rsid w:val="00D85BD2"/>
    <w:rsid w:val="00E945DC"/>
    <w:rsid w:val="00FA31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440B6B0-8DB7-4B59-80DC-0679463A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Amram Dworkin</cp:lastModifiedBy>
  <cp:revision>13</cp:revision>
  <dcterms:created xsi:type="dcterms:W3CDTF">2013-12-23T23:15:00Z</dcterms:created>
  <dcterms:modified xsi:type="dcterms:W3CDTF">2025-09-05T19:27:00Z</dcterms:modified>
  <cp:category/>
</cp:coreProperties>
</file>