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EF3FD" w14:textId="77777777" w:rsidR="00CB62F9" w:rsidRPr="00CB62F9" w:rsidRDefault="00CB62F9" w:rsidP="00CB62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2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CB62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Interview Focus: Architecture Depth + Strategic Thinking</w:t>
      </w:r>
    </w:p>
    <w:p w14:paraId="2B92FB8A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: ~45 minutes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B62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Candidate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: Amarnath (25+ years of experience, AWS-certified, heavy enterprise cloud &amp; modernization background)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B62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: Evaluate thinking process, ability to navigate ambiguity, and how experience maps to SuperApp’s needs.</w:t>
      </w:r>
    </w:p>
    <w:p w14:paraId="40C8B3AD" w14:textId="77777777" w:rsidR="00CB62F9" w:rsidRPr="00CB62F9" w:rsidRDefault="00CB62F9" w:rsidP="00CB62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pict w14:anchorId="2439B99C">
          <v:rect id="_x0000_i1025" style="width:0;height:1.5pt" o:hralign="center" o:hrstd="t" o:hr="t" fillcolor="#a0a0a0" stroked="f"/>
        </w:pict>
      </w:r>
    </w:p>
    <w:p w14:paraId="6EA1C5D1" w14:textId="77777777" w:rsidR="00CB62F9" w:rsidRPr="00CB62F9" w:rsidRDefault="00CB62F9" w:rsidP="00CB62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Architecting at Scale in Regulated Industries</w:t>
      </w:r>
    </w:p>
    <w:p w14:paraId="4F2ED830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: You've led major architecture efforts in banking and pharma. How do you approach building a scalable, secure, and compliant service architecture in a highly regulated environment like healthcare?</w:t>
      </w:r>
    </w:p>
    <w:p w14:paraId="53288D9E" w14:textId="77777777" w:rsidR="00CB62F9" w:rsidRPr="00CB62F9" w:rsidRDefault="00CB62F9" w:rsidP="00CB6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Good Answer: Discusses layered security, HIPAA-style controls, shared responsibility model, auditing, architecture patterns like zero-trust, and compliance gates in CI/CD.</w:t>
      </w:r>
    </w:p>
    <w:p w14:paraId="55CDBA9E" w14:textId="77777777" w:rsidR="00CB62F9" w:rsidRPr="00CB62F9" w:rsidRDefault="00CB62F9" w:rsidP="00CB6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Bad Answer: Focuses only on tech stacks (e.g., "use AWS and encrypt everything") without acknowledging regulatory nuance or architectural enforcement.</w:t>
      </w:r>
    </w:p>
    <w:p w14:paraId="507D1F88" w14:textId="77777777" w:rsidR="00CB62F9" w:rsidRPr="00CB62F9" w:rsidRDefault="00CB62F9" w:rsidP="00CB6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Follow-ups:</w:t>
      </w:r>
    </w:p>
    <w:p w14:paraId="6B2F7FF7" w14:textId="77777777" w:rsidR="00CB62F9" w:rsidRPr="00CB62F9" w:rsidRDefault="00CB62F9" w:rsidP="00CB62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How do you adapt this for teams not trained in regulatory domains?</w:t>
      </w:r>
    </w:p>
    <w:p w14:paraId="184D2596" w14:textId="77777777" w:rsidR="00CB62F9" w:rsidRPr="00CB62F9" w:rsidRDefault="00CB62F9" w:rsidP="00CB62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What’s your strategy to balance velocity with compliance?</w:t>
      </w:r>
    </w:p>
    <w:p w14:paraId="62A7B2E6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Alignment: Direct overlap with SuperApp HIPAA/ADA/API concerns and experience in financial and pharma domains.</w:t>
      </w:r>
    </w:p>
    <w:p w14:paraId="5686FF5D" w14:textId="77777777" w:rsidR="00CB62F9" w:rsidRPr="00CB62F9" w:rsidRDefault="00CB62F9" w:rsidP="00CB62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pict w14:anchorId="55925CED">
          <v:rect id="_x0000_i1026" style="width:0;height:1.5pt" o:hralign="center" o:hrstd="t" o:hr="t" fillcolor="#a0a0a0" stroked="f"/>
        </w:pict>
      </w:r>
    </w:p>
    <w:p w14:paraId="13FF7C83" w14:textId="77777777" w:rsidR="00CB62F9" w:rsidRPr="00CB62F9" w:rsidRDefault="00CB62F9" w:rsidP="00CB62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Multi-Org API Contract Negotiation</w:t>
      </w:r>
    </w:p>
    <w:p w14:paraId="4B586C61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: When integrating APIs between two large organizations like Aetna and CVS, how do you ensure agreement on API contracts and data semantics?</w:t>
      </w:r>
    </w:p>
    <w:p w14:paraId="1A42A752" w14:textId="77777777" w:rsidR="00CB62F9" w:rsidRPr="00CB62F9" w:rsidRDefault="00CB62F9" w:rsidP="00CB62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Good Answer: Mentions anti-corruption layers, shared domain models, canonical schemas, experience APIs, or governance bodies.</w:t>
      </w:r>
    </w:p>
    <w:p w14:paraId="0A19C5B7" w14:textId="77777777" w:rsidR="00CB62F9" w:rsidRPr="00CB62F9" w:rsidRDefault="00CB62F9" w:rsidP="00CB62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Bad Answer: Says "we define the API" or ignores cross-org negotiation entirely.</w:t>
      </w:r>
    </w:p>
    <w:p w14:paraId="19C2B78D" w14:textId="77777777" w:rsidR="00CB62F9" w:rsidRPr="00CB62F9" w:rsidRDefault="00CB62F9" w:rsidP="00CB62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Follow-ups:</w:t>
      </w:r>
    </w:p>
    <w:p w14:paraId="5E086D4B" w14:textId="77777777" w:rsidR="00CB62F9" w:rsidRPr="00CB62F9" w:rsidRDefault="00CB62F9" w:rsidP="00CB62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When would you accept schema divergence?</w:t>
      </w:r>
    </w:p>
    <w:p w14:paraId="0455C49F" w14:textId="77777777" w:rsidR="00CB62F9" w:rsidRPr="00CB62F9" w:rsidRDefault="00CB62F9" w:rsidP="00CB62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How would you avoid over-engineering a shared contract?</w:t>
      </w:r>
    </w:p>
    <w:p w14:paraId="6964AA3A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🧩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Alignment: Amarnath’s work in cross-entity consolidation (pharma, banking) and API ecosystem governance at CITI is highly relevant.</w:t>
      </w:r>
    </w:p>
    <w:p w14:paraId="55E36230" w14:textId="77777777" w:rsidR="00CB62F9" w:rsidRPr="00CB62F9" w:rsidRDefault="00CB62F9" w:rsidP="00CB62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pict w14:anchorId="6B03E655">
          <v:rect id="_x0000_i1027" style="width:0;height:1.5pt" o:hralign="center" o:hrstd="t" o:hr="t" fillcolor="#a0a0a0" stroked="f"/>
        </w:pict>
      </w:r>
    </w:p>
    <w:p w14:paraId="0F3AB397" w14:textId="77777777" w:rsidR="00CB62F9" w:rsidRPr="00CB62F9" w:rsidRDefault="00CB62F9" w:rsidP="00CB62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Experience APIs vs. GraphQL</w:t>
      </w:r>
    </w:p>
    <w:p w14:paraId="5A086DC3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: For a complex, consumer-facing app like SuperApp, when would you use an experience API layer instead of GraphQL?</w:t>
      </w:r>
    </w:p>
    <w:p w14:paraId="1067BDBD" w14:textId="77777777" w:rsidR="00CB62F9" w:rsidRPr="00CB62F9" w:rsidRDefault="00CB62F9" w:rsidP="00CB62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Good Answer: Weighs operational simplicity, caching, synthetic object complexity, and access control granularity.</w:t>
      </w:r>
    </w:p>
    <w:p w14:paraId="76E6C4B6" w14:textId="77777777" w:rsidR="00CB62F9" w:rsidRPr="00CB62F9" w:rsidRDefault="00CB62F9" w:rsidP="00CB62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Bad Answer: Says “REST is simpler” or “GraphQL is better for everything.”</w:t>
      </w:r>
    </w:p>
    <w:p w14:paraId="0E157E25" w14:textId="77777777" w:rsidR="00CB62F9" w:rsidRPr="00CB62F9" w:rsidRDefault="00CB62F9" w:rsidP="00CB62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Follow-ups:</w:t>
      </w:r>
    </w:p>
    <w:p w14:paraId="69950703" w14:textId="77777777" w:rsidR="00CB62F9" w:rsidRPr="00CB62F9" w:rsidRDefault="00CB62F9" w:rsidP="00CB62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Would you use GraphQL for pharmacy search? Why/why not?</w:t>
      </w:r>
    </w:p>
    <w:p w14:paraId="153AF96D" w14:textId="77777777" w:rsidR="00CB62F9" w:rsidRPr="00CB62F9" w:rsidRDefault="00CB62F9" w:rsidP="00CB62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What performance pitfalls have you hit in federated models?</w:t>
      </w:r>
    </w:p>
    <w:p w14:paraId="127F7D54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Alignment: He’s delivered multi-channel platforms at Citi and Accenture—this is a natural decision space for him.</w:t>
      </w:r>
    </w:p>
    <w:p w14:paraId="3FF7B1DE" w14:textId="77777777" w:rsidR="00CB62F9" w:rsidRPr="00CB62F9" w:rsidRDefault="00CB62F9" w:rsidP="00CB62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pict w14:anchorId="0FA83CD9">
          <v:rect id="_x0000_i1028" style="width:0;height:1.5pt" o:hralign="center" o:hrstd="t" o:hr="t" fillcolor="#a0a0a0" stroked="f"/>
        </w:pict>
      </w:r>
    </w:p>
    <w:p w14:paraId="1C6F6DE3" w14:textId="77777777" w:rsidR="00CB62F9" w:rsidRPr="00CB62F9" w:rsidRDefault="00CB62F9" w:rsidP="00CB62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Handling Mid-Project Architectural Change</w:t>
      </w:r>
    </w:p>
    <w:p w14:paraId="79D767F1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: Can you describe a time when a major architectural direction shifted mid-project? How did you navigate that?</w:t>
      </w:r>
    </w:p>
    <w:p w14:paraId="57BB7785" w14:textId="77777777" w:rsidR="00CB62F9" w:rsidRPr="00CB62F9" w:rsidRDefault="00CB62F9" w:rsidP="00CB62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Good Answer: Discusses stakeholder alignment, technical debt trade-offs, and iterative re-architecture.</w:t>
      </w:r>
    </w:p>
    <w:p w14:paraId="4DE5039B" w14:textId="77777777" w:rsidR="00CB62F9" w:rsidRPr="00CB62F9" w:rsidRDefault="00CB62F9" w:rsidP="00CB62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Bad Answer: Blames “the business,” says “we just redid it,” or avoids real conflict resolution.</w:t>
      </w:r>
    </w:p>
    <w:p w14:paraId="65C8266D" w14:textId="77777777" w:rsidR="00CB62F9" w:rsidRPr="00CB62F9" w:rsidRDefault="00CB62F9" w:rsidP="00CB62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Follow-ups:</w:t>
      </w:r>
    </w:p>
    <w:p w14:paraId="4A770AA0" w14:textId="77777777" w:rsidR="00CB62F9" w:rsidRPr="00CB62F9" w:rsidRDefault="00CB62F9" w:rsidP="00CB62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How would you avoid such shifts upfront?</w:t>
      </w:r>
    </w:p>
    <w:p w14:paraId="53DF6C99" w14:textId="77777777" w:rsidR="00CB62F9" w:rsidRPr="00CB62F9" w:rsidRDefault="00CB62F9" w:rsidP="00CB62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When is starting over justified?</w:t>
      </w:r>
    </w:p>
    <w:p w14:paraId="3D560692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Alignment: Amarnath has “rescued” multiple stalled projects. Looking for maturity in handling design pivots.</w:t>
      </w:r>
    </w:p>
    <w:p w14:paraId="2846D27A" w14:textId="77777777" w:rsidR="00CB62F9" w:rsidRPr="00CB62F9" w:rsidRDefault="00CB62F9" w:rsidP="00CB62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pict w14:anchorId="44330EF3">
          <v:rect id="_x0000_i1029" style="width:0;height:1.5pt" o:hralign="center" o:hrstd="t" o:hr="t" fillcolor="#a0a0a0" stroked="f"/>
        </w:pict>
      </w:r>
    </w:p>
    <w:p w14:paraId="40055814" w14:textId="77777777" w:rsidR="00CB62F9" w:rsidRPr="00CB62F9" w:rsidRDefault="00CB62F9" w:rsidP="00CB62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API Aggregation Strategy</w:t>
      </w:r>
    </w:p>
    <w:p w14:paraId="2810D53A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: If you're aggregating multiple backend services with different SLAs and auth methods, what’s your architectural strategy?</w:t>
      </w:r>
    </w:p>
    <w:p w14:paraId="28D0E35F" w14:textId="77777777" w:rsidR="00CB62F9" w:rsidRPr="00CB62F9" w:rsidRDefault="00CB62F9" w:rsidP="00CB62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Good Answer: Circuit breakers, retries, token exchange, proxy layers, API Gateway or service mesh.</w:t>
      </w:r>
    </w:p>
    <w:p w14:paraId="70AF6A0F" w14:textId="77777777" w:rsidR="00CB62F9" w:rsidRPr="00CB62F9" w:rsidRDefault="00CB62F9" w:rsidP="00CB62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Bad Answer: “Just call each service from the frontend” or no plan for error isolation.</w:t>
      </w:r>
    </w:p>
    <w:p w14:paraId="1484A448" w14:textId="77777777" w:rsidR="00CB62F9" w:rsidRPr="00CB62F9" w:rsidRDefault="00CB62F9" w:rsidP="00CB62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Follow-ups:</w:t>
      </w:r>
    </w:p>
    <w:p w14:paraId="3F9F281C" w14:textId="77777777" w:rsidR="00CB62F9" w:rsidRPr="00CB62F9" w:rsidRDefault="00CB62F9" w:rsidP="00CB62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What latency optimization techniques would you use?</w:t>
      </w:r>
    </w:p>
    <w:p w14:paraId="57D29EB9" w14:textId="77777777" w:rsidR="00CB62F9" w:rsidRPr="00CB62F9" w:rsidRDefault="00CB62F9" w:rsidP="00CB62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When would you use GraphQL federation instead?</w:t>
      </w:r>
    </w:p>
    <w:p w14:paraId="46201645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Alignment: Leverage his microservices and SOA experience (TCS, Accenture, Citi).</w:t>
      </w:r>
    </w:p>
    <w:p w14:paraId="58032098" w14:textId="77777777" w:rsidR="00CB62F9" w:rsidRPr="00CB62F9" w:rsidRDefault="00CB62F9" w:rsidP="00CB62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pict w14:anchorId="75D14A01">
          <v:rect id="_x0000_i1030" style="width:0;height:1.5pt" o:hralign="center" o:hrstd="t" o:hr="t" fillcolor="#a0a0a0" stroked="f"/>
        </w:pict>
      </w:r>
    </w:p>
    <w:p w14:paraId="0B0644A8" w14:textId="77777777" w:rsidR="00CB62F9" w:rsidRPr="00CB62F9" w:rsidRDefault="00CB62F9" w:rsidP="00CB62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SuperApp-Specific Latency Reduction</w:t>
      </w:r>
    </w:p>
    <w:p w14:paraId="0A84A7EB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: SuperApp requires chaining multiple APIs. What’s your approach to minimizing latency and handling failures?</w:t>
      </w:r>
    </w:p>
    <w:p w14:paraId="1E2A8F68" w14:textId="77777777" w:rsidR="00CB62F9" w:rsidRPr="00CB62F9" w:rsidRDefault="00CB62F9" w:rsidP="00CB62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Good Answer: Fan-out/fan-in discussion, async via SNS/SQS/Kinesis, resilience design, partial fallbacks.</w:t>
      </w:r>
    </w:p>
    <w:p w14:paraId="61CC42A0" w14:textId="77777777" w:rsidR="00CB62F9" w:rsidRPr="00CB62F9" w:rsidRDefault="00CB62F9" w:rsidP="00CB62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Bad Answer: Only mentions retries or vague “optimize the code.”</w:t>
      </w:r>
    </w:p>
    <w:p w14:paraId="7424D6A7" w14:textId="77777777" w:rsidR="00CB62F9" w:rsidRPr="00CB62F9" w:rsidRDefault="00CB62F9" w:rsidP="00CB62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Follow-ups:</w:t>
      </w:r>
    </w:p>
    <w:p w14:paraId="444BBF67" w14:textId="77777777" w:rsidR="00CB62F9" w:rsidRPr="00CB62F9" w:rsidRDefault="00CB62F9" w:rsidP="00CB62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When is fan-in too expensive?</w:t>
      </w:r>
    </w:p>
    <w:p w14:paraId="28FA9A47" w14:textId="77777777" w:rsidR="00CB62F9" w:rsidRPr="00CB62F9" w:rsidRDefault="00CB62F9" w:rsidP="00CB62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How would you decouple identity verification in chained flows?</w:t>
      </w:r>
    </w:p>
    <w:p w14:paraId="30FD50B0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Alignment: This is close to his Pega + ML service orchestration and BPM tooling experience at Citi and Fed Reserve.</w:t>
      </w:r>
    </w:p>
    <w:p w14:paraId="010D40F0" w14:textId="77777777" w:rsidR="00CB62F9" w:rsidRPr="00CB62F9" w:rsidRDefault="00CB62F9" w:rsidP="00CB62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pict w14:anchorId="7910FE5F">
          <v:rect id="_x0000_i1031" style="width:0;height:1.5pt" o:hralign="center" o:hrstd="t" o:hr="t" fillcolor="#a0a0a0" stroked="f"/>
        </w:pict>
      </w:r>
    </w:p>
    <w:p w14:paraId="7480F839" w14:textId="77777777" w:rsidR="00CB62F9" w:rsidRPr="00CB62F9" w:rsidRDefault="00CB62F9" w:rsidP="00CB62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CI/CD Enforcement of Architecture Principles</w:t>
      </w:r>
    </w:p>
    <w:p w14:paraId="12BF9607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: How would you enforce architectural principles like security, DDD, and compliance in a multi-team CI/CD pipeline?</w:t>
      </w:r>
    </w:p>
    <w:p w14:paraId="5AEB382C" w14:textId="77777777" w:rsidR="00CB62F9" w:rsidRPr="00CB62F9" w:rsidRDefault="00CB62F9" w:rsidP="00CB62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Good Answer: OPA, static analysis, shared IaC templates, SAST/DAST, GitOps practices.</w:t>
      </w:r>
    </w:p>
    <w:p w14:paraId="0CD6E194" w14:textId="77777777" w:rsidR="00CB62F9" w:rsidRPr="00CB62F9" w:rsidRDefault="00CB62F9" w:rsidP="00CB62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Bad Answer: “Train everyone,” “have a checklist,” or purely manual reviews.</w:t>
      </w:r>
    </w:p>
    <w:p w14:paraId="2A98AC54" w14:textId="77777777" w:rsidR="00CB62F9" w:rsidRPr="00CB62F9" w:rsidRDefault="00CB62F9" w:rsidP="00CB62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Follow-ups:</w:t>
      </w:r>
    </w:p>
    <w:p w14:paraId="3E17E9E2" w14:textId="77777777" w:rsidR="00CB62F9" w:rsidRPr="00CB62F9" w:rsidRDefault="00CB62F9" w:rsidP="00CB62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What has failed for you in this space?</w:t>
      </w:r>
    </w:p>
    <w:p w14:paraId="36745500" w14:textId="77777777" w:rsidR="00CB62F9" w:rsidRPr="00CB62F9" w:rsidRDefault="00CB62F9" w:rsidP="00CB62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Would you centralize or federate enforcement?</w:t>
      </w:r>
    </w:p>
    <w:p w14:paraId="27EDA8EF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Alignment: Directly relevant to his CI/CD enforcement at Citi, and portfolio rationalization efforts at TCS.</w:t>
      </w:r>
    </w:p>
    <w:p w14:paraId="63769AAF" w14:textId="77777777" w:rsidR="00CB62F9" w:rsidRPr="00CB62F9" w:rsidRDefault="00CB62F9" w:rsidP="00CB62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pict w14:anchorId="1BFB8603">
          <v:rect id="_x0000_i1032" style="width:0;height:1.5pt" o:hralign="center" o:hrstd="t" o:hr="t" fillcolor="#a0a0a0" stroked="f"/>
        </w:pict>
      </w:r>
    </w:p>
    <w:p w14:paraId="58191ED0" w14:textId="77777777" w:rsidR="00CB62F9" w:rsidRPr="00CB62F9" w:rsidRDefault="00CB62F9" w:rsidP="00CB62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8. Designing for Elastic Spikes</w:t>
      </w:r>
    </w:p>
    <w:p w14:paraId="56BFF956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: During open enrollment, how would you architect a SuperApp feature like Benefits Lookup to scale elastically?</w:t>
      </w:r>
    </w:p>
    <w:p w14:paraId="1DCD480A" w14:textId="77777777" w:rsidR="00CB62F9" w:rsidRPr="00CB62F9" w:rsidRDefault="00CB62F9" w:rsidP="00CB62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Good Answer: Mentions serverless (Lambda/Dynamo), queue buffering, auto-scaling groups, caching tiers, observability.</w:t>
      </w:r>
    </w:p>
    <w:p w14:paraId="67515B68" w14:textId="77777777" w:rsidR="00CB62F9" w:rsidRPr="00CB62F9" w:rsidRDefault="00CB62F9" w:rsidP="00CB62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Bad Answer: Just says “scale up EC2” or misses burst-read/cold-start issues.</w:t>
      </w:r>
    </w:p>
    <w:p w14:paraId="372C9254" w14:textId="77777777" w:rsidR="00CB62F9" w:rsidRPr="00CB62F9" w:rsidRDefault="00CB62F9" w:rsidP="00CB62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Follow-ups:</w:t>
      </w:r>
    </w:p>
    <w:p w14:paraId="43F6696C" w14:textId="77777777" w:rsidR="00CB62F9" w:rsidRPr="00CB62F9" w:rsidRDefault="00CB62F9" w:rsidP="00CB62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What are Lambda’s limits in this case?</w:t>
      </w:r>
    </w:p>
    <w:p w14:paraId="5F3723F5" w14:textId="77777777" w:rsidR="00CB62F9" w:rsidRPr="00CB62F9" w:rsidRDefault="00CB62F9" w:rsidP="00CB62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How would you layer cache vs. real-time data?</w:t>
      </w:r>
    </w:p>
    <w:p w14:paraId="616B5208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Alignment: His cloud migration work for 3000 apps and performance tuning under load makes this a strong fit.</w:t>
      </w:r>
    </w:p>
    <w:p w14:paraId="6D36E98D" w14:textId="77777777" w:rsidR="00CB62F9" w:rsidRPr="00CB62F9" w:rsidRDefault="00CB62F9" w:rsidP="00CB62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pict w14:anchorId="1B50F28A">
          <v:rect id="_x0000_i1033" style="width:0;height:1.5pt" o:hralign="center" o:hrstd="t" o:hr="t" fillcolor="#a0a0a0" stroked="f"/>
        </w:pict>
      </w:r>
    </w:p>
    <w:p w14:paraId="6EAAAE98" w14:textId="77777777" w:rsidR="00CB62F9" w:rsidRPr="00CB62F9" w:rsidRDefault="00CB62F9" w:rsidP="00CB62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Inter-Org Governance Strategy</w:t>
      </w:r>
    </w:p>
    <w:p w14:paraId="24F8FE79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: How would you create and maintain architectural coherence across CVS and Aetna teams building the same SuperApp?</w:t>
      </w:r>
    </w:p>
    <w:p w14:paraId="7F47282B" w14:textId="77777777" w:rsidR="00CB62F9" w:rsidRPr="00CB62F9" w:rsidRDefault="00CB62F9" w:rsidP="00CB62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Good Answer: Governance councils, shared architecture runway, contract-first APIs, architecture playbooks.</w:t>
      </w:r>
    </w:p>
    <w:p w14:paraId="67DCED02" w14:textId="77777777" w:rsidR="00CB62F9" w:rsidRPr="00CB62F9" w:rsidRDefault="00CB62F9" w:rsidP="00CB62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Bad Answer: “We make decisions together” without explaining process or governance.</w:t>
      </w:r>
    </w:p>
    <w:p w14:paraId="217D5B71" w14:textId="77777777" w:rsidR="00CB62F9" w:rsidRPr="00CB62F9" w:rsidRDefault="00CB62F9" w:rsidP="00CB62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Follow-ups:</w:t>
      </w:r>
    </w:p>
    <w:p w14:paraId="6129BF3D" w14:textId="77777777" w:rsidR="00CB62F9" w:rsidRPr="00CB62F9" w:rsidRDefault="00CB62F9" w:rsidP="00CB62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How would you measure architectural drift?</w:t>
      </w:r>
    </w:p>
    <w:p w14:paraId="199A620D" w14:textId="77777777" w:rsidR="00CB62F9" w:rsidRPr="00CB62F9" w:rsidRDefault="00CB62F9" w:rsidP="00CB62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When would you allow local deviations?</w:t>
      </w:r>
    </w:p>
    <w:p w14:paraId="52B04CDC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Alignment: Relevant to his experience turning around cross-vendor projects (pharma, energy, Accenture).</w:t>
      </w:r>
    </w:p>
    <w:p w14:paraId="50818058" w14:textId="77777777" w:rsidR="00CB62F9" w:rsidRPr="00CB62F9" w:rsidRDefault="00CB62F9" w:rsidP="00CB62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pict w14:anchorId="0B755C9F">
          <v:rect id="_x0000_i1034" style="width:0;height:1.5pt" o:hralign="center" o:hrstd="t" o:hr="t" fillcolor="#a0a0a0" stroked="f"/>
        </w:pict>
      </w:r>
    </w:p>
    <w:p w14:paraId="13258371" w14:textId="77777777" w:rsidR="00CB62F9" w:rsidRPr="00CB62F9" w:rsidRDefault="00CB62F9" w:rsidP="00CB62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Mentorship &amp; Technical Influence</w:t>
      </w:r>
    </w:p>
    <w:p w14:paraId="213046DE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: You’ve mentored architects into “thought leaders.” How do you mentor effectively while still delivering complex projects?</w:t>
      </w:r>
    </w:p>
    <w:p w14:paraId="541B6AB2" w14:textId="77777777" w:rsidR="00CB62F9" w:rsidRPr="00CB62F9" w:rsidRDefault="00CB62F9" w:rsidP="00CB62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Good Answer: Gives examples of coaching with context, modeling design reviews, and setting architecture strategy frameworks.</w:t>
      </w:r>
    </w:p>
    <w:p w14:paraId="3AD90369" w14:textId="77777777" w:rsidR="00CB62F9" w:rsidRPr="00CB62F9" w:rsidRDefault="00CB62F9" w:rsidP="00CB62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Bad Answer: Just says “I give them freedom” or “I delegate.”</w:t>
      </w:r>
    </w:p>
    <w:p w14:paraId="32649755" w14:textId="77777777" w:rsidR="00CB62F9" w:rsidRPr="00CB62F9" w:rsidRDefault="00CB62F9" w:rsidP="00CB62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Follow-ups:</w:t>
      </w:r>
    </w:p>
    <w:p w14:paraId="580E5698" w14:textId="77777777" w:rsidR="00CB62F9" w:rsidRPr="00CB62F9" w:rsidRDefault="00CB62F9" w:rsidP="00CB62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How do you help mid-level engineers think like system architects?</w:t>
      </w:r>
    </w:p>
    <w:p w14:paraId="391CE055" w14:textId="77777777" w:rsidR="00CB62F9" w:rsidRPr="00CB62F9" w:rsidRDefault="00CB62F9" w:rsidP="00CB62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Times New Roman" w:eastAsia="Times New Roman" w:hAnsi="Times New Roman" w:cs="Times New Roman"/>
          <w:kern w:val="0"/>
          <w14:ligatures w14:val="none"/>
        </w:rPr>
        <w:t>What anti-patterns do you see in technical mentorship?</w:t>
      </w:r>
    </w:p>
    <w:p w14:paraId="23D6F1ED" w14:textId="77777777" w:rsidR="00CB62F9" w:rsidRPr="00CB62F9" w:rsidRDefault="00CB62F9" w:rsidP="00CB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62F9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CB62F9">
        <w:rPr>
          <w:rFonts w:ascii="Times New Roman" w:eastAsia="Times New Roman" w:hAnsi="Times New Roman" w:cs="Times New Roman"/>
          <w:kern w:val="0"/>
          <w14:ligatures w14:val="none"/>
        </w:rPr>
        <w:t xml:space="preserve"> Alignment: Aligns with SuperApp’s expectation for technical influence and his ongoing coaching role at Citi.</w:t>
      </w:r>
    </w:p>
    <w:p w14:paraId="470BD586" w14:textId="77777777" w:rsidR="00CB62F9" w:rsidRDefault="00CB62F9"/>
    <w:sectPr w:rsidR="00CB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E2E7A"/>
    <w:multiLevelType w:val="multilevel"/>
    <w:tmpl w:val="6AF0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1793"/>
    <w:multiLevelType w:val="multilevel"/>
    <w:tmpl w:val="2CF2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A0260"/>
    <w:multiLevelType w:val="multilevel"/>
    <w:tmpl w:val="80BE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13B55"/>
    <w:multiLevelType w:val="multilevel"/>
    <w:tmpl w:val="B700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564AA"/>
    <w:multiLevelType w:val="multilevel"/>
    <w:tmpl w:val="3A7E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E40F2"/>
    <w:multiLevelType w:val="multilevel"/>
    <w:tmpl w:val="8F32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0635F"/>
    <w:multiLevelType w:val="multilevel"/>
    <w:tmpl w:val="10E2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34DBE"/>
    <w:multiLevelType w:val="multilevel"/>
    <w:tmpl w:val="7CDC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E0395"/>
    <w:multiLevelType w:val="multilevel"/>
    <w:tmpl w:val="3B7C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1296B"/>
    <w:multiLevelType w:val="multilevel"/>
    <w:tmpl w:val="4AE2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118017">
    <w:abstractNumId w:val="7"/>
  </w:num>
  <w:num w:numId="2" w16cid:durableId="571815280">
    <w:abstractNumId w:val="0"/>
  </w:num>
  <w:num w:numId="3" w16cid:durableId="1776443208">
    <w:abstractNumId w:val="9"/>
  </w:num>
  <w:num w:numId="4" w16cid:durableId="1015695128">
    <w:abstractNumId w:val="2"/>
  </w:num>
  <w:num w:numId="5" w16cid:durableId="1801531937">
    <w:abstractNumId w:val="4"/>
  </w:num>
  <w:num w:numId="6" w16cid:durableId="438375391">
    <w:abstractNumId w:val="8"/>
  </w:num>
  <w:num w:numId="7" w16cid:durableId="1826699992">
    <w:abstractNumId w:val="1"/>
  </w:num>
  <w:num w:numId="8" w16cid:durableId="545289765">
    <w:abstractNumId w:val="6"/>
  </w:num>
  <w:num w:numId="9" w16cid:durableId="1722047621">
    <w:abstractNumId w:val="5"/>
  </w:num>
  <w:num w:numId="10" w16cid:durableId="1382484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EwtTA3MTIwNjE2NzBV0lEKTi0uzszPAykwrAUAar/ftywAAAA="/>
  </w:docVars>
  <w:rsids>
    <w:rsidRoot w:val="00CB62F9"/>
    <w:rsid w:val="002838A0"/>
    <w:rsid w:val="00CB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B6A4"/>
  <w15:chartTrackingRefBased/>
  <w15:docId w15:val="{8AB08DBF-BB15-4392-90A3-521BDBBE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6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6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2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6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6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1</cp:revision>
  <dcterms:created xsi:type="dcterms:W3CDTF">2025-06-10T19:52:00Z</dcterms:created>
  <dcterms:modified xsi:type="dcterms:W3CDTF">2025-06-10T19:53:00Z</dcterms:modified>
</cp:coreProperties>
</file>