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A68D3" w14:textId="77777777" w:rsidR="00513D96" w:rsidRDefault="00513D96"/>
    <w:sectPr w:rsidR="00513D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494A2" w14:textId="77777777" w:rsidR="008E32EF" w:rsidRDefault="008E32EF" w:rsidP="00513D96">
      <w:pPr>
        <w:spacing w:after="0" w:line="240" w:lineRule="auto"/>
      </w:pPr>
      <w:r>
        <w:separator/>
      </w:r>
    </w:p>
  </w:endnote>
  <w:endnote w:type="continuationSeparator" w:id="0">
    <w:p w14:paraId="24241F8F" w14:textId="77777777" w:rsidR="008E32EF" w:rsidRDefault="008E32EF" w:rsidP="00513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9AC16" w14:textId="77777777" w:rsidR="00513D96" w:rsidRDefault="00513D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6EA76" w14:textId="77777777" w:rsidR="00513D96" w:rsidRDefault="00513D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108F0" w14:textId="77777777" w:rsidR="00513D96" w:rsidRDefault="00513D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953CE" w14:textId="77777777" w:rsidR="008E32EF" w:rsidRDefault="008E32EF" w:rsidP="00513D96">
      <w:pPr>
        <w:spacing w:after="0" w:line="240" w:lineRule="auto"/>
      </w:pPr>
      <w:r>
        <w:separator/>
      </w:r>
    </w:p>
  </w:footnote>
  <w:footnote w:type="continuationSeparator" w:id="0">
    <w:p w14:paraId="57FA359F" w14:textId="77777777" w:rsidR="008E32EF" w:rsidRDefault="008E32EF" w:rsidP="00513D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0E027" w14:textId="77777777" w:rsidR="00513D96" w:rsidRDefault="00513D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6B73C" w14:textId="77777777" w:rsidR="00513D96" w:rsidRPr="00513D96" w:rsidRDefault="00513D96" w:rsidP="00513D96">
    <w:pPr>
      <w:spacing w:before="100" w:beforeAutospacing="1" w:after="100" w:afterAutospacing="1" w:line="240" w:lineRule="auto"/>
      <w:outlineLvl w:val="0"/>
      <w:rPr>
        <w:rFonts w:ascii="Times New Roman" w:eastAsia="Times New Roman" w:hAnsi="Times New Roman" w:cs="Times New Roman"/>
        <w:b/>
        <w:bCs/>
        <w:kern w:val="36"/>
        <w:sz w:val="48"/>
        <w:szCs w:val="48"/>
        <w14:ligatures w14:val="none"/>
      </w:rPr>
    </w:pPr>
    <w:r w:rsidRPr="00513D96">
      <w:rPr>
        <w:rFonts w:ascii="Segoe UI Emoji" w:eastAsia="Times New Roman" w:hAnsi="Segoe UI Emoji" w:cs="Segoe UI Emoji"/>
        <w:b/>
        <w:bCs/>
        <w:kern w:val="36"/>
        <w:sz w:val="48"/>
        <w:szCs w:val="48"/>
        <w14:ligatures w14:val="none"/>
      </w:rPr>
      <w:t>🧭</w:t>
    </w:r>
    <w:r w:rsidRPr="00513D96">
      <w:rPr>
        <w:rFonts w:ascii="Times New Roman" w:eastAsia="Times New Roman" w:hAnsi="Times New Roman" w:cs="Times New Roman"/>
        <w:b/>
        <w:bCs/>
        <w:kern w:val="36"/>
        <w:sz w:val="48"/>
        <w:szCs w:val="48"/>
        <w14:ligatures w14:val="none"/>
      </w:rPr>
      <w:t xml:space="preserve"> Narrative Summary: Retail-to-Mail Prescription Transfer Flow</w:t>
    </w:r>
  </w:p>
  <w:p w14:paraId="71A06FEE" w14:textId="77777777" w:rsidR="00513D96" w:rsidRPr="00513D96" w:rsidRDefault="00513D96" w:rsidP="00513D96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  <w:t>1. Problem Context and Business Motivation</w:t>
    </w:r>
  </w:p>
  <w:p w14:paraId="32F2F679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Today’s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“New Mail Order Request”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process relies on provider reauthorization — the “Fast Start” model — where a member initiates a mail order request, the system contacts the provider, and the provider issues a new Rx. Success rates for this flow are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around 60% or lower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>, primarily due to provider friction, duplicate requests, and timing mismatches.</w:t>
    </w:r>
  </w:p>
  <w:p w14:paraId="2DE640EC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To address this, CVS and Aetna introduced a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Retail-to-Mail Transfer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flow. Instead of generating a </w:t>
    </w:r>
    <w:r w:rsidRPr="00513D96">
      <w:rPr>
        <w:rFonts w:ascii="Times New Roman" w:eastAsia="Times New Roman" w:hAnsi="Times New Roman" w:cs="Times New Roman"/>
        <w:i/>
        <w:iCs/>
        <w:kern w:val="0"/>
        <w14:ligatures w14:val="none"/>
      </w:rPr>
      <w:t>new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prescription request, it leverages an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API-based transfer process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between retail and mail-order systems (RxConnect/ICE). This reduces manual intervention, accelerates fulfillment, and maintains medication continuity for members — especially those transitioning into Aetna coverage or whose pharmacies are leaving the network.</w:t>
    </w:r>
  </w:p>
  <w:p w14:paraId="755563B7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>Key drivers include:</w:t>
    </w:r>
  </w:p>
  <w:p w14:paraId="67DF5658" w14:textId="77777777" w:rsidR="00513D96" w:rsidRPr="00513D96" w:rsidRDefault="00513D96" w:rsidP="00513D96">
    <w:pPr>
      <w:numPr>
        <w:ilvl w:val="0"/>
        <w:numId w:val="1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Reducing call volume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(241,000+ annual calls) related to transfer requests.</w:t>
    </w:r>
  </w:p>
  <w:p w14:paraId="7E005956" w14:textId="77777777" w:rsidR="00513D96" w:rsidRPr="00513D96" w:rsidRDefault="00513D96" w:rsidP="00513D96">
    <w:pPr>
      <w:numPr>
        <w:ilvl w:val="0"/>
        <w:numId w:val="1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Improving digital self-service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for prescription migration.</w:t>
    </w:r>
  </w:p>
  <w:p w14:paraId="6E70439B" w14:textId="77777777" w:rsidR="00513D96" w:rsidRPr="00513D96" w:rsidRDefault="00513D96" w:rsidP="00513D96">
    <w:pPr>
      <w:numPr>
        <w:ilvl w:val="0"/>
        <w:numId w:val="1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Enhancing member satisfaction (OSAT/CSAT)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through reduced provider friction.</w:t>
    </w:r>
  </w:p>
  <w:p w14:paraId="63DE8BD1" w14:textId="77777777" w:rsidR="00513D96" w:rsidRPr="00513D96" w:rsidRDefault="00513D96" w:rsidP="00513D96">
    <w:pPr>
      <w:numPr>
        <w:ilvl w:val="0"/>
        <w:numId w:val="1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Ensuring Medicare and commercial members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can access transfers uniformly across platforms (Web, iOS, Android).</w:t>
    </w:r>
  </w:p>
  <w:p w14:paraId="6BA6AA2A" w14:textId="77777777" w:rsidR="00513D96" w:rsidRPr="00513D96" w:rsidRDefault="00513D96" w:rsidP="00513D96">
    <w:pPr>
      <w:spacing w:after="0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pict w14:anchorId="7318D9E6">
        <v:rect id="_x0000_i1026" style="width:0;height:1.5pt" o:hralign="center" o:hrstd="t" o:hr="t" fillcolor="#a0a0a0" stroked="f"/>
      </w:pict>
    </w:r>
  </w:p>
  <w:p w14:paraId="73DAF3E8" w14:textId="77777777" w:rsidR="00513D96" w:rsidRPr="00513D96" w:rsidRDefault="00513D96" w:rsidP="00513D96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  <w:t>2. Architectural Overview</w:t>
    </w:r>
  </w:p>
  <w:p w14:paraId="31CC05CA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The Retail-to-Mail Transfer flow represents a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hybrid integration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between:</w:t>
    </w:r>
  </w:p>
  <w:p w14:paraId="7B06EF9E" w14:textId="77777777" w:rsidR="00513D96" w:rsidRPr="00513D96" w:rsidRDefault="00513D96" w:rsidP="00513D96">
    <w:pPr>
      <w:numPr>
        <w:ilvl w:val="0"/>
        <w:numId w:val="2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Aetna’s front-end BFF and domain services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(responsible for eligibility and order initiation), and</w:t>
    </w:r>
  </w:p>
  <w:p w14:paraId="54238D6A" w14:textId="77777777" w:rsidR="00513D96" w:rsidRPr="00513D96" w:rsidRDefault="00513D96" w:rsidP="00513D96">
    <w:pPr>
      <w:numPr>
        <w:ilvl w:val="0"/>
        <w:numId w:val="2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CVS backend APIs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(responsible for Rx validation, eligibility determination, and transfer submission).</w:t>
    </w:r>
  </w:p>
  <w:p w14:paraId="72F4EFA6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The process can be broken into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four primary user flows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derived from </w:t>
    </w:r>
    <w:r w:rsidRPr="00513D96">
      <w:rPr>
        <w:rFonts w:ascii="Times New Roman" w:eastAsia="Times New Roman" w:hAnsi="Times New Roman" w:cs="Times New Roman"/>
        <w:i/>
        <w:iCs/>
        <w:kern w:val="0"/>
        <w14:ligatures w14:val="none"/>
      </w:rPr>
      <w:t>Big Flow.docx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>:</w:t>
    </w:r>
  </w:p>
  <w:p w14:paraId="399AB2D5" w14:textId="77777777" w:rsidR="00513D96" w:rsidRPr="00513D96" w:rsidRDefault="00513D96" w:rsidP="00513D96">
    <w:pPr>
      <w:spacing w:after="0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pict w14:anchorId="1B6C409F">
        <v:rect id="_x0000_i1027" style="width:0;height:1.5pt" o:hralign="center" o:hrstd="t" o:hr="t" fillcolor="#a0a0a0" stroked="f"/>
      </w:pict>
    </w:r>
  </w:p>
  <w:p w14:paraId="7ECB7535" w14:textId="77777777" w:rsidR="00513D96" w:rsidRPr="00513D96" w:rsidRDefault="00513D96" w:rsidP="00513D96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  <w:t>3. Flow 1 — Prescription Dashboard / Menu</w:t>
    </w:r>
  </w:p>
  <w:p w14:paraId="5E5C7EAB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Goal: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Entry point for transfer initiation.</w:t>
    </w:r>
    <w:r w:rsidRPr="00513D96">
      <w:rPr>
        <w:rFonts w:ascii="Times New Roman" w:eastAsia="Times New Roman" w:hAnsi="Times New Roman" w:cs="Times New Roman"/>
        <w:kern w:val="0"/>
        <w14:ligatures w14:val="none"/>
      </w:rPr>
      <w:br/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Trigger: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Member navigates from “Prescriptions” in the Aetna app.</w:t>
    </w:r>
  </w:p>
  <w:p w14:paraId="1D744F3F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Steps:</w:t>
    </w:r>
  </w:p>
  <w:p w14:paraId="1210F7A9" w14:textId="77777777" w:rsidR="00513D96" w:rsidRPr="00513D96" w:rsidRDefault="00513D96" w:rsidP="00513D96">
    <w:pPr>
      <w:numPr>
        <w:ilvl w:val="0"/>
        <w:numId w:val="3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The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Prescription Dashboard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lists all existing retail prescriptions.</w:t>
    </w:r>
  </w:p>
  <w:p w14:paraId="2FF9C4B8" w14:textId="77777777" w:rsidR="00513D96" w:rsidRPr="00513D96" w:rsidRDefault="00513D96" w:rsidP="00513D96">
    <w:pPr>
      <w:numPr>
        <w:ilvl w:val="0"/>
        <w:numId w:val="3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The member selects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“Transfer to Mail Order”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, which opens the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Mail Order Prescription Selection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page.</w:t>
    </w:r>
  </w:p>
  <w:p w14:paraId="1BFC94C6" w14:textId="77777777" w:rsidR="00513D96" w:rsidRPr="00513D96" w:rsidRDefault="00513D96" w:rsidP="00513D96">
    <w:pPr>
      <w:numPr>
        <w:ilvl w:val="0"/>
        <w:numId w:val="3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If no prescriptions are available, the user is prompted to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add a new medication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(redirecting to Flow 3).</w:t>
    </w:r>
  </w:p>
  <w:p w14:paraId="43E41FCF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 xml:space="preserve">Architecture </w:t>
    </w:r>
    <w:proofErr w:type="gramStart"/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note</w:t>
    </w:r>
    <w:proofErr w:type="gramEnd"/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: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This flow interacts with the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Prescription Management Service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to retrieve the eligible retail Rx list and display mail transfer options, setting the stage for eligibility validation later in Flow 4.</w:t>
    </w:r>
  </w:p>
  <w:p w14:paraId="21A524AA" w14:textId="77777777" w:rsidR="00513D96" w:rsidRPr="00513D96" w:rsidRDefault="00513D96" w:rsidP="00513D96">
    <w:pPr>
      <w:spacing w:after="0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pict w14:anchorId="22F7D52D">
        <v:rect id="_x0000_i1028" style="width:0;height:1.5pt" o:hralign="center" o:hrstd="t" o:hr="t" fillcolor="#a0a0a0" stroked="f"/>
      </w:pict>
    </w:r>
  </w:p>
  <w:p w14:paraId="577C46C7" w14:textId="77777777" w:rsidR="00513D96" w:rsidRPr="00513D96" w:rsidRDefault="00513D96" w:rsidP="00513D96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  <w:t>4. Flow 2 — Selecting an Existing or New Prescription</w:t>
    </w:r>
  </w:p>
  <w:p w14:paraId="55B422E6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Goal: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Identify which medication(s) to transfer.</w:t>
    </w:r>
  </w:p>
  <w:p w14:paraId="7AABACE4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Scenarios:</w:t>
    </w:r>
  </w:p>
  <w:p w14:paraId="271490C7" w14:textId="77777777" w:rsidR="00513D96" w:rsidRPr="00513D96" w:rsidRDefault="00513D96" w:rsidP="00513D96">
    <w:pPr>
      <w:numPr>
        <w:ilvl w:val="0"/>
        <w:numId w:val="4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2.1 Existing Prescription Available:</w:t>
    </w:r>
    <w:r w:rsidRPr="00513D96">
      <w:rPr>
        <w:rFonts w:ascii="Times New Roman" w:eastAsia="Times New Roman" w:hAnsi="Times New Roman" w:cs="Times New Roman"/>
        <w:kern w:val="0"/>
        <w14:ligatures w14:val="none"/>
      </w:rPr>
      <w:br/>
      <w:t>User selects a prescription eligible for transfer.</w:t>
    </w:r>
  </w:p>
  <w:p w14:paraId="5B02F623" w14:textId="77777777" w:rsidR="00513D96" w:rsidRPr="00513D96" w:rsidRDefault="00513D96" w:rsidP="00513D96">
    <w:pPr>
      <w:numPr>
        <w:ilvl w:val="0"/>
        <w:numId w:val="4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2.2 No Existing Prescription:</w:t>
    </w:r>
    <w:r w:rsidRPr="00513D96">
      <w:rPr>
        <w:rFonts w:ascii="Times New Roman" w:eastAsia="Times New Roman" w:hAnsi="Times New Roman" w:cs="Times New Roman"/>
        <w:kern w:val="0"/>
        <w14:ligatures w14:val="none"/>
      </w:rPr>
      <w:br/>
      <w:t>System prompts user to add a medication (transitions to Flow 3).</w:t>
    </w:r>
  </w:p>
  <w:p w14:paraId="1BA9805F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UX Requirement:</w:t>
    </w:r>
    <w:r w:rsidRPr="00513D96">
      <w:rPr>
        <w:rFonts w:ascii="Times New Roman" w:eastAsia="Times New Roman" w:hAnsi="Times New Roman" w:cs="Times New Roman"/>
        <w:kern w:val="0"/>
        <w14:ligatures w14:val="none"/>
      </w:rPr>
      <w:br/>
      <w:t xml:space="preserve">From </w:t>
    </w:r>
    <w:r w:rsidRPr="00513D96">
      <w:rPr>
        <w:rFonts w:ascii="Times New Roman" w:eastAsia="Times New Roman" w:hAnsi="Times New Roman" w:cs="Times New Roman"/>
        <w:i/>
        <w:iCs/>
        <w:kern w:val="0"/>
        <w14:ligatures w14:val="none"/>
      </w:rPr>
      <w:t>Problem Statement.docx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, users must be informed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before transfer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whether eligibility exists, so they understand if provider approval is required or not.</w:t>
    </w:r>
  </w:p>
  <w:p w14:paraId="50AE8651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Technical Behavior:</w:t>
    </w:r>
  </w:p>
  <w:p w14:paraId="5263A80B" w14:textId="77777777" w:rsidR="00513D96" w:rsidRPr="00513D96" w:rsidRDefault="00513D96" w:rsidP="00513D96">
    <w:pPr>
      <w:numPr>
        <w:ilvl w:val="0"/>
        <w:numId w:val="5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When a member selects a prescription, the BFF calls the CVS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eligibility endpoint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>:</w:t>
    </w:r>
  </w:p>
  <w:p w14:paraId="543286EF" w14:textId="77777777" w:rsidR="00513D96" w:rsidRPr="00513D96" w:rsidRDefault="00513D96" w:rsidP="00513D96">
    <w:pPr>
      <w:numPr>
        <w:ilvl w:val="0"/>
        <w:numId w:val="5"/>
      </w:numPr>
      <w:tabs>
        <w:tab w:val="clear" w:pos="7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kern w:val="0"/>
        <w:sz w:val="20"/>
        <w:szCs w:val="20"/>
        <w14:ligatures w14:val="none"/>
      </w:rPr>
    </w:pP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>getRetailToMailRxTransferEligibility(retailToMailTransferInput)</w:t>
    </w:r>
  </w:p>
  <w:p w14:paraId="316F6FF8" w14:textId="77777777" w:rsidR="00513D96" w:rsidRPr="00513D96" w:rsidRDefault="00513D96" w:rsidP="00513D96">
    <w:pPr>
      <w:spacing w:before="100" w:beforeAutospacing="1" w:after="100" w:afterAutospacing="1" w:line="240" w:lineRule="auto"/>
      <w:ind w:left="720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returning a </w:t>
    </w: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>RetailToMailRxTransferResponse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with eligibility status.</w:t>
    </w:r>
  </w:p>
  <w:p w14:paraId="1B273B36" w14:textId="77777777" w:rsidR="00513D96" w:rsidRPr="00513D96" w:rsidRDefault="00513D96" w:rsidP="00513D96">
    <w:pPr>
      <w:spacing w:after="0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pict w14:anchorId="18B9E8C8">
        <v:rect id="_x0000_i1029" style="width:0;height:1.5pt" o:hralign="center" o:hrstd="t" o:hr="t" fillcolor="#a0a0a0" stroked="f"/>
      </w:pict>
    </w:r>
  </w:p>
  <w:p w14:paraId="4B175059" w14:textId="77777777" w:rsidR="00513D96" w:rsidRPr="00513D96" w:rsidRDefault="00513D96" w:rsidP="00513D96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  <w:t>5. Flow 3 — Add New Prescription (Fast Start Alternative)</w:t>
    </w:r>
  </w:p>
  <w:p w14:paraId="587235FB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Goal: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Add a new medication if not already in the system.</w:t>
    </w:r>
  </w:p>
  <w:p w14:paraId="308DBB3F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Scenarios:</w:t>
    </w:r>
  </w:p>
  <w:p w14:paraId="48552A4A" w14:textId="77777777" w:rsidR="00513D96" w:rsidRPr="00513D96" w:rsidRDefault="00513D96" w:rsidP="00513D96">
    <w:pPr>
      <w:numPr>
        <w:ilvl w:val="0"/>
        <w:numId w:val="6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If the member requests a drug they already have, the system raises an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alert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and displays a contextual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link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to the existing prescription record.</w:t>
    </w:r>
  </w:p>
  <w:p w14:paraId="064440E3" w14:textId="77777777" w:rsidR="00513D96" w:rsidRPr="00513D96" w:rsidRDefault="00513D96" w:rsidP="00513D96">
    <w:pPr>
      <w:numPr>
        <w:ilvl w:val="0"/>
        <w:numId w:val="6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>The member can continue to select a provider, add medication details, and save.</w:t>
    </w:r>
  </w:p>
  <w:p w14:paraId="0379FC71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Connectors:</w:t>
    </w:r>
  </w:p>
  <w:p w14:paraId="79D62276" w14:textId="77777777" w:rsidR="00513D96" w:rsidRPr="00513D96" w:rsidRDefault="00513D96" w:rsidP="00513D96">
    <w:pPr>
      <w:numPr>
        <w:ilvl w:val="0"/>
        <w:numId w:val="7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>“Add New Prescription” page → “Transfer Eligibility Flow” (Flow 4).</w:t>
    </w:r>
  </w:p>
  <w:p w14:paraId="26F4F78A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UX Behavior:</w:t>
    </w:r>
  </w:p>
  <w:p w14:paraId="1EC9278D" w14:textId="77777777" w:rsidR="00513D96" w:rsidRPr="00513D96" w:rsidRDefault="00513D96" w:rsidP="00513D96">
    <w:pPr>
      <w:numPr>
        <w:ilvl w:val="0"/>
        <w:numId w:val="8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UI updates include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drawer headings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,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provider address beneath provider info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, and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alert placement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above form elements (noted in Figma references within </w:t>
    </w: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>images/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directory in Big Flow folder).</w:t>
    </w:r>
  </w:p>
  <w:p w14:paraId="25FF0B77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Architecture:</w:t>
    </w:r>
    <w:r w:rsidRPr="00513D96">
      <w:rPr>
        <w:rFonts w:ascii="Times New Roman" w:eastAsia="Times New Roman" w:hAnsi="Times New Roman" w:cs="Times New Roman"/>
        <w:kern w:val="0"/>
        <w14:ligatures w14:val="none"/>
      </w:rPr>
      <w:br/>
      <w:t xml:space="preserve">At this stage, the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domain service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prepares the payload for eligibility verification by constructing:</w:t>
    </w:r>
  </w:p>
  <w:p w14:paraId="44679365" w14:textId="77777777" w:rsidR="00513D96" w:rsidRPr="00513D96" w:rsidRDefault="00513D96" w:rsidP="00513D9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kern w:val="0"/>
        <w:sz w:val="20"/>
        <w:szCs w:val="20"/>
        <w14:ligatures w14:val="none"/>
      </w:rPr>
    </w:pP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>RetailToMailRxTransferInput {</w:t>
    </w:r>
  </w:p>
  <w:p w14:paraId="548E6840" w14:textId="77777777" w:rsidR="00513D96" w:rsidRPr="00513D96" w:rsidRDefault="00513D96" w:rsidP="00513D9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kern w:val="0"/>
        <w:sz w:val="20"/>
        <w:szCs w:val="20"/>
        <w14:ligatures w14:val="none"/>
      </w:rPr>
    </w:pP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 xml:space="preserve">  memberInfo,</w:t>
    </w:r>
  </w:p>
  <w:p w14:paraId="764241ED" w14:textId="77777777" w:rsidR="00513D96" w:rsidRPr="00513D96" w:rsidRDefault="00513D96" w:rsidP="00513D9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kern w:val="0"/>
        <w:sz w:val="20"/>
        <w:szCs w:val="20"/>
        <w14:ligatures w14:val="none"/>
      </w:rPr>
    </w:pP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 xml:space="preserve">  prescriptionInfo,</w:t>
    </w:r>
  </w:p>
  <w:p w14:paraId="66E829C4" w14:textId="77777777" w:rsidR="00513D96" w:rsidRPr="00513D96" w:rsidRDefault="00513D96" w:rsidP="00513D9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kern w:val="0"/>
        <w:sz w:val="20"/>
        <w:szCs w:val="20"/>
        <w14:ligatures w14:val="none"/>
      </w:rPr>
    </w:pP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 xml:space="preserve">  prescriberInfo,</w:t>
    </w:r>
  </w:p>
  <w:p w14:paraId="73972A07" w14:textId="77777777" w:rsidR="00513D96" w:rsidRPr="00513D96" w:rsidRDefault="00513D96" w:rsidP="00513D9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kern w:val="0"/>
        <w:sz w:val="20"/>
        <w:szCs w:val="20"/>
        <w14:ligatures w14:val="none"/>
      </w:rPr>
    </w:pP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 xml:space="preserve">  pharmacyInfo</w:t>
    </w:r>
  </w:p>
  <w:p w14:paraId="093448FB" w14:textId="77777777" w:rsidR="00513D96" w:rsidRPr="00513D96" w:rsidRDefault="00513D96" w:rsidP="00513D9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kern w:val="0"/>
        <w:sz w:val="20"/>
        <w:szCs w:val="20"/>
        <w14:ligatures w14:val="none"/>
      </w:rPr>
    </w:pP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>}</w:t>
    </w:r>
  </w:p>
  <w:p w14:paraId="35E0712B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as defined in the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GraphQL schema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>.</w:t>
    </w:r>
  </w:p>
  <w:p w14:paraId="7E6249FF" w14:textId="77777777" w:rsidR="00513D96" w:rsidRPr="00513D96" w:rsidRDefault="00513D96" w:rsidP="00513D96">
    <w:pPr>
      <w:spacing w:after="0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pict w14:anchorId="2F23F46F">
        <v:rect id="_x0000_i1030" style="width:0;height:1.5pt" o:hralign="center" o:hrstd="t" o:hr="t" fillcolor="#a0a0a0" stroked="f"/>
      </w:pict>
    </w:r>
  </w:p>
  <w:p w14:paraId="1BBDB180" w14:textId="77777777" w:rsidR="00513D96" w:rsidRPr="00513D96" w:rsidRDefault="00513D96" w:rsidP="00513D96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  <w:t>6. Flow 4 — Transfer Eligibility and Checkout</w:t>
    </w:r>
  </w:p>
  <w:p w14:paraId="574F4AB3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Goal: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Determine whether the transfer can proceed directly or requires provider intervention.</w:t>
    </w:r>
  </w:p>
  <w:p w14:paraId="17F18EA5" w14:textId="77777777" w:rsidR="00513D96" w:rsidRPr="00513D96" w:rsidRDefault="00513D96" w:rsidP="00513D96">
    <w:pPr>
      <w:spacing w:before="100" w:beforeAutospacing="1" w:after="100" w:afterAutospacing="1" w:line="240" w:lineRule="auto"/>
      <w:outlineLvl w:val="2"/>
      <w:rPr>
        <w:rFonts w:ascii="Times New Roman" w:eastAsia="Times New Roman" w:hAnsi="Times New Roman" w:cs="Times New Roman"/>
        <w:b/>
        <w:bCs/>
        <w:kern w:val="0"/>
        <w:sz w:val="27"/>
        <w:szCs w:val="27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:sz w:val="27"/>
        <w:szCs w:val="27"/>
        <w14:ligatures w14:val="none"/>
      </w:rPr>
      <w:t>4.1. Eligible Transfer (Direct Mail Transfer)</w:t>
    </w:r>
  </w:p>
  <w:p w14:paraId="28FA0CB6" w14:textId="77777777" w:rsidR="00513D96" w:rsidRPr="00513D96" w:rsidRDefault="00513D96" w:rsidP="00513D96">
    <w:pPr>
      <w:numPr>
        <w:ilvl w:val="0"/>
        <w:numId w:val="9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API Call: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</w:t>
    </w: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>submitRetailToMailTransfer</w:t>
    </w:r>
  </w:p>
  <w:p w14:paraId="1BC66182" w14:textId="77777777" w:rsidR="00513D96" w:rsidRPr="00513D96" w:rsidRDefault="00513D96" w:rsidP="00513D96">
    <w:pPr>
      <w:numPr>
        <w:ilvl w:val="0"/>
        <w:numId w:val="9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Response: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</w:t>
    </w: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>statusCode: 0000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(Success)</w:t>
    </w:r>
  </w:p>
  <w:p w14:paraId="24978554" w14:textId="77777777" w:rsidR="00513D96" w:rsidRPr="00513D96" w:rsidRDefault="00513D96" w:rsidP="00513D96">
    <w:pPr>
      <w:numPr>
        <w:ilvl w:val="0"/>
        <w:numId w:val="9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System Action:</w:t>
    </w:r>
  </w:p>
  <w:p w14:paraId="63E2BDD5" w14:textId="77777777" w:rsidR="00513D96" w:rsidRPr="00513D96" w:rsidRDefault="00513D96" w:rsidP="00513D96">
    <w:pPr>
      <w:numPr>
        <w:ilvl w:val="1"/>
        <w:numId w:val="9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Call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Inactivate Rx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endpoint (</w:t>
    </w: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>fillRequestType: INACTIVATE_PRESCRIPTION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>)</w:t>
    </w:r>
  </w:p>
  <w:p w14:paraId="0C9977D0" w14:textId="77777777" w:rsidR="00513D96" w:rsidRPr="00513D96" w:rsidRDefault="00513D96" w:rsidP="00513D96">
    <w:pPr>
      <w:numPr>
        <w:ilvl w:val="1"/>
        <w:numId w:val="9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Update Rx status in RxConnect with reason </w:t>
    </w:r>
    <w:r w:rsidRPr="00513D96">
      <w:rPr>
        <w:rFonts w:ascii="Times New Roman" w:eastAsia="Times New Roman" w:hAnsi="Times New Roman" w:cs="Times New Roman"/>
        <w:i/>
        <w:iCs/>
        <w:kern w:val="0"/>
        <w14:ligatures w14:val="none"/>
      </w:rPr>
      <w:t>“Customer Requested – Transferred to Mail.”</w:t>
    </w:r>
  </w:p>
  <w:p w14:paraId="76961B75" w14:textId="77777777" w:rsidR="00513D96" w:rsidRPr="00513D96" w:rsidRDefault="00513D96" w:rsidP="00513D96">
    <w:pPr>
      <w:numPr>
        <w:ilvl w:val="1"/>
        <w:numId w:val="9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>Populate confirmation screen with “Eligible Mail Order – Confirmation”.</w:t>
    </w:r>
  </w:p>
  <w:p w14:paraId="77A860D8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Architecture Sequence:</w:t>
    </w:r>
  </w:p>
  <w:p w14:paraId="11983CBA" w14:textId="77777777" w:rsidR="00513D96" w:rsidRPr="00513D96" w:rsidRDefault="00513D96" w:rsidP="00513D96">
    <w:pPr>
      <w:numPr>
        <w:ilvl w:val="0"/>
        <w:numId w:val="10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Aetna BFF calls CVS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domain service API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(</w:t>
    </w: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>rxretail-ice-external-rx-transfer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>).</w:t>
    </w:r>
  </w:p>
  <w:p w14:paraId="185E6199" w14:textId="77777777" w:rsidR="00513D96" w:rsidRPr="00513D96" w:rsidRDefault="00513D96" w:rsidP="00513D96">
    <w:pPr>
      <w:numPr>
        <w:ilvl w:val="0"/>
        <w:numId w:val="10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>CVS validates member/prescription/pharmacy linkage.</w:t>
    </w:r>
  </w:p>
  <w:p w14:paraId="77D2DCA2" w14:textId="77777777" w:rsidR="00513D96" w:rsidRPr="00513D96" w:rsidRDefault="00513D96" w:rsidP="00513D96">
    <w:pPr>
      <w:numPr>
        <w:ilvl w:val="0"/>
        <w:numId w:val="10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On success, CVS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inactivates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the retail Rx and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creates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a new mail-order Rx in Caremark systems.</w:t>
    </w:r>
  </w:p>
  <w:p w14:paraId="6F671993" w14:textId="77777777" w:rsidR="00513D96" w:rsidRPr="00513D96" w:rsidRDefault="00513D96" w:rsidP="00513D96">
    <w:pPr>
      <w:numPr>
        <w:ilvl w:val="0"/>
        <w:numId w:val="10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>Response propagated to Aetna app → confirmation shown to member.</w:t>
    </w:r>
  </w:p>
  <w:p w14:paraId="614D1DCD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Mock Response Example:</w:t>
    </w:r>
  </w:p>
  <w:p w14:paraId="667D35FC" w14:textId="77777777" w:rsidR="00513D96" w:rsidRPr="00513D96" w:rsidRDefault="00513D96" w:rsidP="00513D9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kern w:val="0"/>
        <w:sz w:val="20"/>
        <w:szCs w:val="20"/>
        <w14:ligatures w14:val="none"/>
      </w:rPr>
    </w:pP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>{</w:t>
    </w:r>
  </w:p>
  <w:p w14:paraId="6C8CEFB1" w14:textId="77777777" w:rsidR="00513D96" w:rsidRPr="00513D96" w:rsidRDefault="00513D96" w:rsidP="00513D9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kern w:val="0"/>
        <w:sz w:val="20"/>
        <w:szCs w:val="20"/>
        <w14:ligatures w14:val="none"/>
      </w:rPr>
    </w:pP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 xml:space="preserve">  "statusCode": "0000",</w:t>
    </w:r>
  </w:p>
  <w:p w14:paraId="75D44FC2" w14:textId="77777777" w:rsidR="00513D96" w:rsidRPr="00513D96" w:rsidRDefault="00513D96" w:rsidP="00513D9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kern w:val="0"/>
        <w:sz w:val="20"/>
        <w:szCs w:val="20"/>
        <w14:ligatures w14:val="none"/>
      </w:rPr>
    </w:pP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 xml:space="preserve">  "statusDescription": "Success"</w:t>
    </w:r>
  </w:p>
  <w:p w14:paraId="6D04CC6C" w14:textId="77777777" w:rsidR="00513D96" w:rsidRPr="00513D96" w:rsidRDefault="00513D96" w:rsidP="00513D9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kern w:val="0"/>
        <w:sz w:val="20"/>
        <w:szCs w:val="20"/>
        <w14:ligatures w14:val="none"/>
      </w:rPr>
    </w:pP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>}</w:t>
    </w:r>
  </w:p>
  <w:p w14:paraId="6C232A51" w14:textId="77777777" w:rsidR="00513D96" w:rsidRPr="00513D96" w:rsidRDefault="00513D96" w:rsidP="00513D96">
    <w:pPr>
      <w:spacing w:after="0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pict w14:anchorId="11650D82">
        <v:rect id="_x0000_i1031" style="width:0;height:1.5pt" o:hralign="center" o:hrstd="t" o:hr="t" fillcolor="#a0a0a0" stroked="f"/>
      </w:pict>
    </w:r>
  </w:p>
  <w:p w14:paraId="1C1B5299" w14:textId="77777777" w:rsidR="00513D96" w:rsidRPr="00513D96" w:rsidRDefault="00513D96" w:rsidP="00513D96">
    <w:pPr>
      <w:spacing w:before="100" w:beforeAutospacing="1" w:after="100" w:afterAutospacing="1" w:line="240" w:lineRule="auto"/>
      <w:outlineLvl w:val="2"/>
      <w:rPr>
        <w:rFonts w:ascii="Times New Roman" w:eastAsia="Times New Roman" w:hAnsi="Times New Roman" w:cs="Times New Roman"/>
        <w:b/>
        <w:bCs/>
        <w:kern w:val="0"/>
        <w:sz w:val="27"/>
        <w:szCs w:val="27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:sz w:val="27"/>
        <w:szCs w:val="27"/>
        <w14:ligatures w14:val="none"/>
      </w:rPr>
      <w:t>4.2. Not Eligible (Fast Start Provider Request)</w:t>
    </w:r>
  </w:p>
  <w:p w14:paraId="5F3C8415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>If CVS determines the retail Rx cannot be directly transferred:</w:t>
    </w:r>
  </w:p>
  <w:p w14:paraId="2FA404ED" w14:textId="77777777" w:rsidR="00513D96" w:rsidRPr="00513D96" w:rsidRDefault="00513D96" w:rsidP="00513D96">
    <w:pPr>
      <w:numPr>
        <w:ilvl w:val="0"/>
        <w:numId w:val="11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API Response: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indicates </w:t>
    </w: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>eligibilityStatus = 0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or </w:t>
    </w: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>transferStatus = 0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>.</w:t>
    </w:r>
  </w:p>
  <w:p w14:paraId="425DD622" w14:textId="77777777" w:rsidR="00513D96" w:rsidRPr="00513D96" w:rsidRDefault="00513D96" w:rsidP="00513D96">
    <w:pPr>
      <w:numPr>
        <w:ilvl w:val="0"/>
        <w:numId w:val="11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System Behavior:</w:t>
    </w:r>
  </w:p>
  <w:p w14:paraId="24ECAE9E" w14:textId="77777777" w:rsidR="00513D96" w:rsidRPr="00513D96" w:rsidRDefault="00513D96" w:rsidP="00513D96">
    <w:pPr>
      <w:numPr>
        <w:ilvl w:val="1"/>
        <w:numId w:val="11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>Display “Provider Approval Needed” flow.</w:t>
    </w:r>
  </w:p>
  <w:p w14:paraId="26F3BC31" w14:textId="77777777" w:rsidR="00513D96" w:rsidRPr="00513D96" w:rsidRDefault="00513D96" w:rsidP="00513D96">
    <w:pPr>
      <w:numPr>
        <w:ilvl w:val="1"/>
        <w:numId w:val="11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System initiates a “New Mail Order Request” via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Fast Start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(legacy path).</w:t>
    </w:r>
  </w:p>
  <w:p w14:paraId="6F8760A4" w14:textId="77777777" w:rsidR="00513D96" w:rsidRPr="00513D96" w:rsidRDefault="00513D96" w:rsidP="00513D96">
    <w:pPr>
      <w:numPr>
        <w:ilvl w:val="1"/>
        <w:numId w:val="11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>Notify member that provider authorization will be required before fulfillment.</w:t>
    </w:r>
  </w:p>
  <w:p w14:paraId="3793604D" w14:textId="77777777" w:rsidR="00513D96" w:rsidRPr="00513D96" w:rsidRDefault="00513D96" w:rsidP="00513D96">
    <w:pPr>
      <w:numPr>
        <w:ilvl w:val="1"/>
        <w:numId w:val="11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>Offer UI messaging on expected timing (“may take up to 72 hours”).</w:t>
    </w:r>
  </w:p>
  <w:p w14:paraId="2BE23307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UX Connectors:</w:t>
    </w:r>
  </w:p>
  <w:p w14:paraId="1FCC7135" w14:textId="77777777" w:rsidR="00513D96" w:rsidRPr="00513D96" w:rsidRDefault="00513D96" w:rsidP="00513D96">
    <w:pPr>
      <w:numPr>
        <w:ilvl w:val="0"/>
        <w:numId w:val="12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>Provider Approval Needed – Checkout</w:t>
    </w:r>
  </w:p>
  <w:p w14:paraId="011FB3AF" w14:textId="77777777" w:rsidR="00513D96" w:rsidRPr="00513D96" w:rsidRDefault="00513D96" w:rsidP="00513D96">
    <w:pPr>
      <w:numPr>
        <w:ilvl w:val="0"/>
        <w:numId w:val="12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>Provider Approval Needed – Confirmation</w:t>
    </w:r>
  </w:p>
  <w:p w14:paraId="383CE13E" w14:textId="77777777" w:rsidR="00513D96" w:rsidRPr="00513D96" w:rsidRDefault="00513D96" w:rsidP="00513D96">
    <w:pPr>
      <w:spacing w:after="0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pict w14:anchorId="6CC3FD21">
        <v:rect id="_x0000_i1032" style="width:0;height:1.5pt" o:hralign="center" o:hrstd="t" o:hr="t" fillcolor="#a0a0a0" stroked="f"/>
      </w:pict>
    </w:r>
  </w:p>
  <w:p w14:paraId="1299E8DC" w14:textId="77777777" w:rsidR="00513D96" w:rsidRPr="00513D96" w:rsidRDefault="00513D96" w:rsidP="00513D96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  <w:t>7. Backend API Layer and Schema Design</w:t>
    </w:r>
  </w:p>
  <w:p w14:paraId="3586FCFD" w14:textId="77777777" w:rsidR="00513D96" w:rsidRPr="00513D96" w:rsidRDefault="00513D96" w:rsidP="00513D96">
    <w:pPr>
      <w:spacing w:before="100" w:beforeAutospacing="1" w:after="100" w:afterAutospacing="1" w:line="240" w:lineRule="auto"/>
      <w:outlineLvl w:val="2"/>
      <w:rPr>
        <w:rFonts w:ascii="Times New Roman" w:eastAsia="Times New Roman" w:hAnsi="Times New Roman" w:cs="Times New Roman"/>
        <w:b/>
        <w:bCs/>
        <w:kern w:val="0"/>
        <w:sz w:val="27"/>
        <w:szCs w:val="27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:sz w:val="27"/>
        <w:szCs w:val="27"/>
        <w14:ligatures w14:val="none"/>
      </w:rPr>
      <w:t>Key Components</w:t>
    </w:r>
  </w:p>
  <w:tbl>
    <w:tblPr>
      <w:tblW w:w="0" w:type="auto"/>
      <w:tblCellSpacing w:w="15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688"/>
      <w:gridCol w:w="2480"/>
      <w:gridCol w:w="5192"/>
    </w:tblGrid>
    <w:tr w:rsidR="00513D96" w:rsidRPr="00513D96" w14:paraId="1F9ABE34" w14:textId="77777777">
      <w:trPr>
        <w:tblHeader/>
        <w:tblCellSpacing w:w="15" w:type="dxa"/>
      </w:trPr>
      <w:tc>
        <w:tcPr>
          <w:tcW w:w="0" w:type="auto"/>
          <w:vAlign w:val="center"/>
          <w:hideMark/>
        </w:tcPr>
        <w:p w14:paraId="16A4512D" w14:textId="77777777" w:rsidR="00513D96" w:rsidRPr="00513D96" w:rsidRDefault="00513D96" w:rsidP="00513D96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b/>
              <w:bCs/>
              <w:kern w:val="0"/>
              <w14:ligatures w14:val="none"/>
            </w:rPr>
            <w:t>Component</w:t>
          </w:r>
        </w:p>
      </w:tc>
      <w:tc>
        <w:tcPr>
          <w:tcW w:w="0" w:type="auto"/>
          <w:vAlign w:val="center"/>
          <w:hideMark/>
        </w:tcPr>
        <w:p w14:paraId="38CAE7F7" w14:textId="77777777" w:rsidR="00513D96" w:rsidRPr="00513D96" w:rsidRDefault="00513D96" w:rsidP="00513D96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b/>
              <w:bCs/>
              <w:kern w:val="0"/>
              <w14:ligatures w14:val="none"/>
            </w:rPr>
            <w:t>Function</w:t>
          </w:r>
        </w:p>
      </w:tc>
      <w:tc>
        <w:tcPr>
          <w:tcW w:w="0" w:type="auto"/>
          <w:vAlign w:val="center"/>
          <w:hideMark/>
        </w:tcPr>
        <w:p w14:paraId="5B31C68C" w14:textId="77777777" w:rsidR="00513D96" w:rsidRPr="00513D96" w:rsidRDefault="00513D96" w:rsidP="00513D96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b/>
              <w:bCs/>
              <w:kern w:val="0"/>
              <w14:ligatures w14:val="none"/>
            </w:rPr>
            <w:t>Integration</w:t>
          </w:r>
        </w:p>
      </w:tc>
    </w:tr>
    <w:tr w:rsidR="00513D96" w:rsidRPr="00513D96" w14:paraId="1C30CDB3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0E7FA676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b/>
              <w:bCs/>
              <w:kern w:val="0"/>
              <w14:ligatures w14:val="none"/>
            </w:rPr>
            <w:t>Eligibility API</w:t>
          </w:r>
        </w:p>
      </w:tc>
      <w:tc>
        <w:tcPr>
          <w:tcW w:w="0" w:type="auto"/>
          <w:vAlign w:val="center"/>
          <w:hideMark/>
        </w:tcPr>
        <w:p w14:paraId="5221C0FA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>Determines if the prescription qualifies for direct transfer</w:t>
          </w:r>
        </w:p>
      </w:tc>
      <w:tc>
        <w:tcPr>
          <w:tcW w:w="0" w:type="auto"/>
          <w:vAlign w:val="center"/>
          <w:hideMark/>
        </w:tcPr>
        <w:p w14:paraId="73F514ED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GraphQL </w:t>
          </w:r>
          <w:r w:rsidRPr="00513D96">
            <w:rPr>
              <w:rFonts w:ascii="Courier New" w:eastAsia="Times New Roman" w:hAnsi="Courier New" w:cs="Courier New"/>
              <w:kern w:val="0"/>
              <w:sz w:val="20"/>
              <w:szCs w:val="20"/>
              <w14:ligatures w14:val="none"/>
            </w:rPr>
            <w:t>getRetailToMailRxTransferEligibility</w:t>
          </w:r>
        </w:p>
      </w:tc>
    </w:tr>
    <w:tr w:rsidR="00513D96" w:rsidRPr="00513D96" w14:paraId="0D67B369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174FFA69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b/>
              <w:bCs/>
              <w:kern w:val="0"/>
              <w14:ligatures w14:val="none"/>
            </w:rPr>
            <w:t>Transfer Submission API</w:t>
          </w:r>
        </w:p>
      </w:tc>
      <w:tc>
        <w:tcPr>
          <w:tcW w:w="0" w:type="auto"/>
          <w:vAlign w:val="center"/>
          <w:hideMark/>
        </w:tcPr>
        <w:p w14:paraId="72465254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>Executes the Rx transfer</w:t>
          </w:r>
        </w:p>
      </w:tc>
      <w:tc>
        <w:tcPr>
          <w:tcW w:w="0" w:type="auto"/>
          <w:vAlign w:val="center"/>
          <w:hideMark/>
        </w:tcPr>
        <w:p w14:paraId="0ED14599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GraphQL </w:t>
          </w:r>
          <w:r w:rsidRPr="00513D96">
            <w:rPr>
              <w:rFonts w:ascii="Courier New" w:eastAsia="Times New Roman" w:hAnsi="Courier New" w:cs="Courier New"/>
              <w:kern w:val="0"/>
              <w:sz w:val="20"/>
              <w:szCs w:val="20"/>
              <w14:ligatures w14:val="none"/>
            </w:rPr>
            <w:t>submitRetailToMailTransfer</w:t>
          </w:r>
        </w:p>
      </w:tc>
    </w:tr>
    <w:tr w:rsidR="00513D96" w:rsidRPr="00513D96" w14:paraId="734FDA95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5E5A78CB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b/>
              <w:bCs/>
              <w:kern w:val="0"/>
              <w14:ligatures w14:val="none"/>
            </w:rPr>
            <w:t>Inactivate Rx API</w:t>
          </w:r>
        </w:p>
      </w:tc>
      <w:tc>
        <w:tcPr>
          <w:tcW w:w="0" w:type="auto"/>
          <w:vAlign w:val="center"/>
          <w:hideMark/>
        </w:tcPr>
        <w:p w14:paraId="4FD8DFAF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>Updates retail prescription status</w:t>
          </w:r>
        </w:p>
      </w:tc>
      <w:tc>
        <w:tcPr>
          <w:tcW w:w="0" w:type="auto"/>
          <w:vAlign w:val="center"/>
          <w:hideMark/>
        </w:tcPr>
        <w:p w14:paraId="4E0A118B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REST call to RxConnect </w:t>
          </w:r>
          <w:r w:rsidRPr="00513D96">
            <w:rPr>
              <w:rFonts w:ascii="Courier New" w:eastAsia="Times New Roman" w:hAnsi="Courier New" w:cs="Courier New"/>
              <w:kern w:val="0"/>
              <w:sz w:val="20"/>
              <w:szCs w:val="20"/>
              <w14:ligatures w14:val="none"/>
            </w:rPr>
            <w:t>/placeorderinput</w:t>
          </w:r>
        </w:p>
      </w:tc>
    </w:tr>
    <w:tr w:rsidR="00513D96" w:rsidRPr="00513D96" w14:paraId="493D9038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59818535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b/>
              <w:bCs/>
              <w:kern w:val="0"/>
              <w14:ligatures w14:val="none"/>
            </w:rPr>
            <w:t>External Rx Transfer API</w:t>
          </w:r>
        </w:p>
      </w:tc>
      <w:tc>
        <w:tcPr>
          <w:tcW w:w="0" w:type="auto"/>
          <w:vAlign w:val="center"/>
          <w:hideMark/>
        </w:tcPr>
        <w:p w14:paraId="58E01E7D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>Core CVS microservice</w:t>
          </w:r>
        </w:p>
      </w:tc>
      <w:tc>
        <w:tcPr>
          <w:tcW w:w="0" w:type="auto"/>
          <w:vAlign w:val="center"/>
          <w:hideMark/>
        </w:tcPr>
        <w:p w14:paraId="28FE9241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Courier New" w:eastAsia="Times New Roman" w:hAnsi="Courier New" w:cs="Courier New"/>
              <w:kern w:val="0"/>
              <w:sz w:val="20"/>
              <w:szCs w:val="20"/>
              <w14:ligatures w14:val="none"/>
            </w:rPr>
            <w:t>/externalrxtransfer/retailtomail</w:t>
          </w: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 endpoint (QA/Prod environments)</w:t>
          </w:r>
        </w:p>
      </w:tc>
    </w:tr>
  </w:tbl>
  <w:p w14:paraId="59D28E8E" w14:textId="77777777" w:rsidR="00513D96" w:rsidRPr="00513D96" w:rsidRDefault="00513D96" w:rsidP="00513D96">
    <w:pPr>
      <w:spacing w:before="100" w:beforeAutospacing="1" w:after="100" w:afterAutospacing="1" w:line="240" w:lineRule="auto"/>
      <w:outlineLvl w:val="2"/>
      <w:rPr>
        <w:rFonts w:ascii="Times New Roman" w:eastAsia="Times New Roman" w:hAnsi="Times New Roman" w:cs="Times New Roman"/>
        <w:b/>
        <w:bCs/>
        <w:kern w:val="0"/>
        <w:sz w:val="27"/>
        <w:szCs w:val="27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:sz w:val="27"/>
        <w:szCs w:val="27"/>
        <w14:ligatures w14:val="none"/>
      </w:rPr>
      <w:t>Data Model Highlights</w:t>
    </w:r>
  </w:p>
  <w:p w14:paraId="7DB3D219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>Each request includes:</w:t>
    </w:r>
  </w:p>
  <w:p w14:paraId="768FF43A" w14:textId="77777777" w:rsidR="00513D96" w:rsidRPr="00513D96" w:rsidRDefault="00513D96" w:rsidP="00513D96">
    <w:pPr>
      <w:numPr>
        <w:ilvl w:val="0"/>
        <w:numId w:val="13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Member Info: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</w:t>
    </w: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>memberId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, </w:t>
    </w: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>cardholderId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, </w:t>
    </w: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>patientId</w:t>
    </w:r>
  </w:p>
  <w:p w14:paraId="0B994BAF" w14:textId="77777777" w:rsidR="00513D96" w:rsidRPr="00513D96" w:rsidRDefault="00513D96" w:rsidP="00513D96">
    <w:pPr>
      <w:numPr>
        <w:ilvl w:val="0"/>
        <w:numId w:val="13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Prescription Info: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drug identifiers, quantities, refill limits</w:t>
    </w:r>
  </w:p>
  <w:p w14:paraId="12F940BC" w14:textId="77777777" w:rsidR="00513D96" w:rsidRPr="00513D96" w:rsidRDefault="00513D96" w:rsidP="00513D96">
    <w:pPr>
      <w:numPr>
        <w:ilvl w:val="0"/>
        <w:numId w:val="13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Prescriber Info: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NPI, DEA, SPI identifiers</w:t>
    </w:r>
  </w:p>
  <w:p w14:paraId="7F351CB2" w14:textId="77777777" w:rsidR="00513D96" w:rsidRPr="00513D96" w:rsidRDefault="00513D96" w:rsidP="00513D96">
    <w:pPr>
      <w:numPr>
        <w:ilvl w:val="0"/>
        <w:numId w:val="13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Pharmacy Info: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sending pharmacy and pharmacist metadata</w:t>
    </w:r>
    <w:r w:rsidRPr="00513D96">
      <w:rPr>
        <w:rFonts w:ascii="Times New Roman" w:eastAsia="Times New Roman" w:hAnsi="Times New Roman" w:cs="Times New Roman"/>
        <w:kern w:val="0"/>
        <w14:ligatures w14:val="none"/>
      </w:rPr>
      <w:br/>
      <w:t>All defined in the shared GraphQL schema.</w:t>
    </w:r>
  </w:p>
  <w:p w14:paraId="339AE5E8" w14:textId="77777777" w:rsidR="00513D96" w:rsidRPr="00513D96" w:rsidRDefault="00513D96" w:rsidP="00513D96">
    <w:pPr>
      <w:spacing w:after="0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pict w14:anchorId="35D2D114">
        <v:rect id="_x0000_i1033" style="width:0;height:1.5pt" o:hralign="center" o:hrstd="t" o:hr="t" fillcolor="#a0a0a0" stroked="f"/>
      </w:pict>
    </w:r>
  </w:p>
  <w:p w14:paraId="5872B7E4" w14:textId="77777777" w:rsidR="00513D96" w:rsidRPr="00513D96" w:rsidRDefault="00513D96" w:rsidP="00513D96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  <w:t>8. Error Handling &amp; Edge Conditions</w:t>
    </w:r>
  </w:p>
  <w:p w14:paraId="44059206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Primary Fault Structure:</w:t>
    </w:r>
  </w:p>
  <w:p w14:paraId="24BFD51C" w14:textId="77777777" w:rsidR="00513D96" w:rsidRPr="00513D96" w:rsidRDefault="00513D96" w:rsidP="00513D9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kern w:val="0"/>
        <w:sz w:val="20"/>
        <w:szCs w:val="20"/>
        <w14:ligatures w14:val="none"/>
      </w:rPr>
    </w:pP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>type RetailToMailTransferFault {</w:t>
    </w:r>
  </w:p>
  <w:p w14:paraId="6E5F6058" w14:textId="77777777" w:rsidR="00513D96" w:rsidRPr="00513D96" w:rsidRDefault="00513D96" w:rsidP="00513D9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kern w:val="0"/>
        <w:sz w:val="20"/>
        <w:szCs w:val="20"/>
        <w14:ligatures w14:val="none"/>
      </w:rPr>
    </w:pP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 xml:space="preserve">  type: String</w:t>
    </w:r>
  </w:p>
  <w:p w14:paraId="5C00139E" w14:textId="77777777" w:rsidR="00513D96" w:rsidRPr="00513D96" w:rsidRDefault="00513D96" w:rsidP="00513D9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kern w:val="0"/>
        <w:sz w:val="20"/>
        <w:szCs w:val="20"/>
        <w14:ligatures w14:val="none"/>
      </w:rPr>
    </w:pP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 xml:space="preserve">  title: String</w:t>
    </w:r>
  </w:p>
  <w:p w14:paraId="09FD73C9" w14:textId="77777777" w:rsidR="00513D96" w:rsidRPr="00513D96" w:rsidRDefault="00513D96" w:rsidP="00513D9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kern w:val="0"/>
        <w:sz w:val="20"/>
        <w:szCs w:val="20"/>
        <w14:ligatures w14:val="none"/>
      </w:rPr>
    </w:pP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 xml:space="preserve">  moreInfo: String</w:t>
    </w:r>
  </w:p>
  <w:p w14:paraId="5B4FA243" w14:textId="77777777" w:rsidR="00513D96" w:rsidRPr="00513D96" w:rsidRDefault="00513D96" w:rsidP="00513D96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kern w:val="0"/>
        <w:sz w:val="20"/>
        <w:szCs w:val="20"/>
        <w14:ligatures w14:val="none"/>
      </w:rPr>
    </w:pPr>
    <w:r w:rsidRPr="00513D96">
      <w:rPr>
        <w:rFonts w:ascii="Courier New" w:eastAsia="Times New Roman" w:hAnsi="Courier New" w:cs="Courier New"/>
        <w:kern w:val="0"/>
        <w:sz w:val="20"/>
        <w:szCs w:val="20"/>
        <w14:ligatures w14:val="none"/>
      </w:rPr>
      <w:t>}</w:t>
    </w:r>
  </w:p>
  <w:p w14:paraId="1910BFAE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Common Failure Modes:</w:t>
    </w:r>
  </w:p>
  <w:p w14:paraId="329639CC" w14:textId="77777777" w:rsidR="00513D96" w:rsidRPr="00513D96" w:rsidRDefault="00513D96" w:rsidP="00513D96">
    <w:pPr>
      <w:numPr>
        <w:ilvl w:val="0"/>
        <w:numId w:val="14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>Invalid NCPDP or DEA identifiers (pharmacy mismatch)</w:t>
    </w:r>
  </w:p>
  <w:p w14:paraId="48341ACE" w14:textId="77777777" w:rsidR="00513D96" w:rsidRPr="00513D96" w:rsidRDefault="00513D96" w:rsidP="00513D96">
    <w:pPr>
      <w:numPr>
        <w:ilvl w:val="0"/>
        <w:numId w:val="14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>Ineligible retail prescription (controlled substances, expired Rx)</w:t>
    </w:r>
  </w:p>
  <w:p w14:paraId="11F5268F" w14:textId="77777777" w:rsidR="00513D96" w:rsidRPr="00513D96" w:rsidRDefault="00513D96" w:rsidP="00513D96">
    <w:pPr>
      <w:numPr>
        <w:ilvl w:val="0"/>
        <w:numId w:val="14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>Inactivate call failure post-successful transfer submission (handled asynchronously)</w:t>
    </w:r>
  </w:p>
  <w:p w14:paraId="04D4E7A3" w14:textId="77777777" w:rsidR="00513D96" w:rsidRPr="00513D96" w:rsidRDefault="00513D96" w:rsidP="00513D96">
    <w:pPr>
      <w:numPr>
        <w:ilvl w:val="0"/>
        <w:numId w:val="14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>Duplicate transfer requests (prevented via transaction ID validation)</w:t>
    </w:r>
  </w:p>
  <w:p w14:paraId="76C707B7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Recovery Path:</w:t>
    </w:r>
    <w:r w:rsidRPr="00513D96">
      <w:rPr>
        <w:rFonts w:ascii="Times New Roman" w:eastAsia="Times New Roman" w:hAnsi="Times New Roman" w:cs="Times New Roman"/>
        <w:kern w:val="0"/>
        <w14:ligatures w14:val="none"/>
      </w:rPr>
      <w:br/>
      <w:t>Retries are asynchronous; the failed Inactivate Rx does not block the new mail-order creation, but a monitoring alert is triggered within CVS ICE systems.</w:t>
    </w:r>
  </w:p>
  <w:p w14:paraId="4C7FFDD4" w14:textId="77777777" w:rsidR="00513D96" w:rsidRPr="00513D96" w:rsidRDefault="00513D96" w:rsidP="00513D96">
    <w:pPr>
      <w:spacing w:after="0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pict w14:anchorId="73ABA9EE">
        <v:rect id="_x0000_i1034" style="width:0;height:1.5pt" o:hralign="center" o:hrstd="t" o:hr="t" fillcolor="#a0a0a0" stroked="f"/>
      </w:pict>
    </w:r>
  </w:p>
  <w:p w14:paraId="65397BB7" w14:textId="77777777" w:rsidR="00513D96" w:rsidRPr="00513D96" w:rsidRDefault="00513D96" w:rsidP="00513D96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  <w:t>9. UX/Content and Member Messaging Strategy</w:t>
    </w:r>
  </w:p>
  <w:p w14:paraId="694C032E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>From the problem statement and flow documentation:</w:t>
    </w:r>
  </w:p>
  <w:p w14:paraId="2422E48A" w14:textId="77777777" w:rsidR="00513D96" w:rsidRPr="00513D96" w:rsidRDefault="00513D96" w:rsidP="00513D96">
    <w:pPr>
      <w:numPr>
        <w:ilvl w:val="0"/>
        <w:numId w:val="15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Members must see clear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eligibility and timing expectations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before transfer.</w:t>
    </w:r>
  </w:p>
  <w:p w14:paraId="69A63A07" w14:textId="77777777" w:rsidR="00513D96" w:rsidRPr="00513D96" w:rsidRDefault="00513D96" w:rsidP="00513D96">
    <w:pPr>
      <w:numPr>
        <w:ilvl w:val="0"/>
        <w:numId w:val="15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Provide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confirmation messaging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for both successful and provider-approval flows.</w:t>
    </w:r>
  </w:p>
  <w:p w14:paraId="290D0BB7" w14:textId="77777777" w:rsidR="00513D96" w:rsidRPr="00513D96" w:rsidRDefault="00513D96" w:rsidP="00513D96">
    <w:pPr>
      <w:numPr>
        <w:ilvl w:val="0"/>
        <w:numId w:val="15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Offer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progress visibility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via Order Status pages.</w:t>
    </w:r>
  </w:p>
  <w:p w14:paraId="748737E8" w14:textId="77777777" w:rsidR="00513D96" w:rsidRPr="00513D96" w:rsidRDefault="00513D96" w:rsidP="00513D96">
    <w:pPr>
      <w:numPr>
        <w:ilvl w:val="0"/>
        <w:numId w:val="15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>Ensure communication preference prompts (SMS, email) are surfaced during confirmation to improve follow-up.</w:t>
    </w:r>
  </w:p>
  <w:p w14:paraId="0278A39D" w14:textId="77777777" w:rsidR="00513D96" w:rsidRPr="00513D96" w:rsidRDefault="00513D96" w:rsidP="00513D96">
    <w:pPr>
      <w:spacing w:after="0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pict w14:anchorId="1BA2FC1C">
        <v:rect id="_x0000_i1035" style="width:0;height:1.5pt" o:hralign="center" o:hrstd="t" o:hr="t" fillcolor="#a0a0a0" stroked="f"/>
      </w:pict>
    </w:r>
  </w:p>
  <w:p w14:paraId="692979E7" w14:textId="77777777" w:rsidR="00513D96" w:rsidRPr="00513D96" w:rsidRDefault="00513D96" w:rsidP="00513D96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  <w:t>10. System Integration Summary</w:t>
    </w:r>
  </w:p>
  <w:p w14:paraId="773671C7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Flow of Control:</w:t>
    </w:r>
  </w:p>
  <w:tbl>
    <w:tblPr>
      <w:tblW w:w="0" w:type="auto"/>
      <w:tblCellSpacing w:w="15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529"/>
      <w:gridCol w:w="3087"/>
      <w:gridCol w:w="4481"/>
    </w:tblGrid>
    <w:tr w:rsidR="00513D96" w:rsidRPr="00513D96" w14:paraId="33649300" w14:textId="77777777">
      <w:trPr>
        <w:tblHeader/>
        <w:tblCellSpacing w:w="15" w:type="dxa"/>
      </w:trPr>
      <w:tc>
        <w:tcPr>
          <w:tcW w:w="0" w:type="auto"/>
          <w:vAlign w:val="center"/>
          <w:hideMark/>
        </w:tcPr>
        <w:p w14:paraId="7EB7CE7C" w14:textId="77777777" w:rsidR="00513D96" w:rsidRPr="00513D96" w:rsidRDefault="00513D96" w:rsidP="00513D96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b/>
              <w:bCs/>
              <w:kern w:val="0"/>
              <w14:ligatures w14:val="none"/>
            </w:rPr>
            <w:t>Step</w:t>
          </w:r>
        </w:p>
      </w:tc>
      <w:tc>
        <w:tcPr>
          <w:tcW w:w="0" w:type="auto"/>
          <w:vAlign w:val="center"/>
          <w:hideMark/>
        </w:tcPr>
        <w:p w14:paraId="6C795A2A" w14:textId="77777777" w:rsidR="00513D96" w:rsidRPr="00513D96" w:rsidRDefault="00513D96" w:rsidP="00513D96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b/>
              <w:bCs/>
              <w:kern w:val="0"/>
              <w14:ligatures w14:val="none"/>
            </w:rPr>
            <w:t>Component</w:t>
          </w:r>
        </w:p>
      </w:tc>
      <w:tc>
        <w:tcPr>
          <w:tcW w:w="0" w:type="auto"/>
          <w:vAlign w:val="center"/>
          <w:hideMark/>
        </w:tcPr>
        <w:p w14:paraId="0684E57D" w14:textId="77777777" w:rsidR="00513D96" w:rsidRPr="00513D96" w:rsidRDefault="00513D96" w:rsidP="00513D96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b/>
              <w:bCs/>
              <w:kern w:val="0"/>
              <w14:ligatures w14:val="none"/>
            </w:rPr>
            <w:t>Action</w:t>
          </w:r>
        </w:p>
      </w:tc>
    </w:tr>
    <w:tr w:rsidR="00513D96" w:rsidRPr="00513D96" w14:paraId="539E788E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34682F62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>1</w:t>
          </w:r>
        </w:p>
      </w:tc>
      <w:tc>
        <w:tcPr>
          <w:tcW w:w="0" w:type="auto"/>
          <w:vAlign w:val="center"/>
          <w:hideMark/>
        </w:tcPr>
        <w:p w14:paraId="1BEE87EA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>Aetna App (Web/iOS/Android)</w:t>
          </w:r>
        </w:p>
      </w:tc>
      <w:tc>
        <w:tcPr>
          <w:tcW w:w="0" w:type="auto"/>
          <w:vAlign w:val="center"/>
          <w:hideMark/>
        </w:tcPr>
        <w:p w14:paraId="28E0D029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>Member selects transfer</w:t>
          </w:r>
        </w:p>
      </w:tc>
    </w:tr>
    <w:tr w:rsidR="00513D96" w:rsidRPr="00513D96" w14:paraId="5BBB806C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0183BA41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>2</w:t>
          </w:r>
        </w:p>
      </w:tc>
      <w:tc>
        <w:tcPr>
          <w:tcW w:w="0" w:type="auto"/>
          <w:vAlign w:val="center"/>
          <w:hideMark/>
        </w:tcPr>
        <w:p w14:paraId="358CFAD9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>Aetna BFF</w:t>
          </w:r>
        </w:p>
      </w:tc>
      <w:tc>
        <w:tcPr>
          <w:tcW w:w="0" w:type="auto"/>
          <w:vAlign w:val="center"/>
          <w:hideMark/>
        </w:tcPr>
        <w:p w14:paraId="7C802940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>Calls CVS API for eligibility</w:t>
          </w:r>
        </w:p>
      </w:tc>
    </w:tr>
    <w:tr w:rsidR="00513D96" w:rsidRPr="00513D96" w14:paraId="7B442BF4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433A98F5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>3</w:t>
          </w:r>
        </w:p>
      </w:tc>
      <w:tc>
        <w:tcPr>
          <w:tcW w:w="0" w:type="auto"/>
          <w:vAlign w:val="center"/>
          <w:hideMark/>
        </w:tcPr>
        <w:p w14:paraId="3A0AD428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>CVS API (Eligibility)</w:t>
          </w:r>
        </w:p>
      </w:tc>
      <w:tc>
        <w:tcPr>
          <w:tcW w:w="0" w:type="auto"/>
          <w:vAlign w:val="center"/>
          <w:hideMark/>
        </w:tcPr>
        <w:p w14:paraId="4C79E49D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>Returns transfer eligibility</w:t>
          </w:r>
        </w:p>
      </w:tc>
    </w:tr>
    <w:tr w:rsidR="00513D96" w:rsidRPr="00513D96" w14:paraId="19CBF20F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01573671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>4</w:t>
          </w:r>
        </w:p>
      </w:tc>
      <w:tc>
        <w:tcPr>
          <w:tcW w:w="0" w:type="auto"/>
          <w:vAlign w:val="center"/>
          <w:hideMark/>
        </w:tcPr>
        <w:p w14:paraId="09D037D7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>Aetna BFF</w:t>
          </w:r>
        </w:p>
      </w:tc>
      <w:tc>
        <w:tcPr>
          <w:tcW w:w="0" w:type="auto"/>
          <w:vAlign w:val="center"/>
          <w:hideMark/>
        </w:tcPr>
        <w:p w14:paraId="13FADBB9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>If eligible → calls submit API</w:t>
          </w:r>
        </w:p>
      </w:tc>
    </w:tr>
    <w:tr w:rsidR="00513D96" w:rsidRPr="00513D96" w14:paraId="23C58697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4011DADD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>5</w:t>
          </w:r>
        </w:p>
      </w:tc>
      <w:tc>
        <w:tcPr>
          <w:tcW w:w="0" w:type="auto"/>
          <w:vAlign w:val="center"/>
          <w:hideMark/>
        </w:tcPr>
        <w:p w14:paraId="08063554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>CVS External Transfer Service</w:t>
          </w:r>
        </w:p>
      </w:tc>
      <w:tc>
        <w:tcPr>
          <w:tcW w:w="0" w:type="auto"/>
          <w:vAlign w:val="center"/>
          <w:hideMark/>
        </w:tcPr>
        <w:p w14:paraId="71389BFF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>Performs Rx transfer</w:t>
          </w:r>
        </w:p>
      </w:tc>
    </w:tr>
    <w:tr w:rsidR="00513D96" w:rsidRPr="00513D96" w14:paraId="6164CE1E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6BC9198E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>6</w:t>
          </w:r>
        </w:p>
      </w:tc>
      <w:tc>
        <w:tcPr>
          <w:tcW w:w="0" w:type="auto"/>
          <w:vAlign w:val="center"/>
          <w:hideMark/>
        </w:tcPr>
        <w:p w14:paraId="1CE66076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>CVS RxConnect</w:t>
          </w:r>
        </w:p>
      </w:tc>
      <w:tc>
        <w:tcPr>
          <w:tcW w:w="0" w:type="auto"/>
          <w:vAlign w:val="center"/>
          <w:hideMark/>
        </w:tcPr>
        <w:p w14:paraId="4D0F5CB8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>Inactivates old Rx, creates new mail-order Rx</w:t>
          </w:r>
        </w:p>
      </w:tc>
    </w:tr>
    <w:tr w:rsidR="00513D96" w:rsidRPr="00513D96" w14:paraId="65A0FF8A" w14:textId="77777777">
      <w:trPr>
        <w:tblCellSpacing w:w="15" w:type="dxa"/>
      </w:trPr>
      <w:tc>
        <w:tcPr>
          <w:tcW w:w="0" w:type="auto"/>
          <w:vAlign w:val="center"/>
          <w:hideMark/>
        </w:tcPr>
        <w:p w14:paraId="7344357A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>7</w:t>
          </w:r>
        </w:p>
      </w:tc>
      <w:tc>
        <w:tcPr>
          <w:tcW w:w="0" w:type="auto"/>
          <w:vAlign w:val="center"/>
          <w:hideMark/>
        </w:tcPr>
        <w:p w14:paraId="1AC48EB2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>Aetna App</w:t>
          </w:r>
        </w:p>
      </w:tc>
      <w:tc>
        <w:tcPr>
          <w:tcW w:w="0" w:type="auto"/>
          <w:vAlign w:val="center"/>
          <w:hideMark/>
        </w:tcPr>
        <w:p w14:paraId="01A3026F" w14:textId="77777777" w:rsidR="00513D96" w:rsidRPr="00513D96" w:rsidRDefault="00513D96" w:rsidP="00513D96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513D96">
            <w:rPr>
              <w:rFonts w:ascii="Times New Roman" w:eastAsia="Times New Roman" w:hAnsi="Times New Roman" w:cs="Times New Roman"/>
              <w:kern w:val="0"/>
              <w14:ligatures w14:val="none"/>
            </w:rPr>
            <w:t>Displays success or provider-needed message</w:t>
          </w:r>
        </w:p>
      </w:tc>
    </w:tr>
  </w:tbl>
  <w:p w14:paraId="6C783935" w14:textId="77777777" w:rsidR="00513D96" w:rsidRPr="00513D96" w:rsidRDefault="00513D96" w:rsidP="00513D96">
    <w:pPr>
      <w:spacing w:after="0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pict w14:anchorId="56AE8055">
        <v:rect id="_x0000_i1036" style="width:0;height:1.5pt" o:hralign="center" o:hrstd="t" o:hr="t" fillcolor="#a0a0a0" stroked="f"/>
      </w:pict>
    </w:r>
  </w:p>
  <w:p w14:paraId="5B379705" w14:textId="77777777" w:rsidR="00513D96" w:rsidRPr="00513D96" w:rsidRDefault="00513D96" w:rsidP="00513D96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  <w:t>11. Future Considerations</w:t>
    </w:r>
  </w:p>
  <w:p w14:paraId="7EA982E3" w14:textId="77777777" w:rsidR="00513D96" w:rsidRPr="00513D96" w:rsidRDefault="00513D96" w:rsidP="00513D96">
    <w:pPr>
      <w:numPr>
        <w:ilvl w:val="0"/>
        <w:numId w:val="16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Bulk Transfers: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Allow multiple prescriptions in one transaction (not yet supported).</w:t>
    </w:r>
  </w:p>
  <w:p w14:paraId="480F4A22" w14:textId="77777777" w:rsidR="00513D96" w:rsidRPr="00513D96" w:rsidRDefault="00513D96" w:rsidP="00513D96">
    <w:pPr>
      <w:numPr>
        <w:ilvl w:val="0"/>
        <w:numId w:val="16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Async Inactivate Rx: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Proposed improvement to decouple retail deactivation from front-end completion.</w:t>
    </w:r>
  </w:p>
  <w:p w14:paraId="0D9BC402" w14:textId="77777777" w:rsidR="00513D96" w:rsidRPr="00513D96" w:rsidRDefault="00513D96" w:rsidP="00513D96">
    <w:pPr>
      <w:numPr>
        <w:ilvl w:val="0"/>
        <w:numId w:val="16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i90 Migration: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Planned move of these endpoints into CVS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i90 prescription service layer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>, replacing LINKS dependencies.</w:t>
    </w:r>
  </w:p>
  <w:p w14:paraId="2BBB4969" w14:textId="77777777" w:rsidR="00513D96" w:rsidRPr="00513D96" w:rsidRDefault="00513D96" w:rsidP="00513D96">
    <w:pPr>
      <w:numPr>
        <w:ilvl w:val="0"/>
        <w:numId w:val="16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Analytics and Tagging: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Adobe tagging and tracking to measure CSAT and transfer success.</w:t>
    </w:r>
  </w:p>
  <w:p w14:paraId="4AFBFBF7" w14:textId="77777777" w:rsidR="00513D96" w:rsidRPr="00513D96" w:rsidRDefault="00513D96" w:rsidP="00513D96">
    <w:pPr>
      <w:numPr>
        <w:ilvl w:val="0"/>
        <w:numId w:val="16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Feature Toggles: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Required for Medicare rollout; language translation for Spanish support in all UIs.</w:t>
    </w:r>
  </w:p>
  <w:p w14:paraId="3FFDFCC3" w14:textId="77777777" w:rsidR="00513D96" w:rsidRPr="00513D96" w:rsidRDefault="00513D96" w:rsidP="00513D96">
    <w:pPr>
      <w:spacing w:after="0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pict w14:anchorId="7F7E25A0">
        <v:rect id="_x0000_i1037" style="width:0;height:1.5pt" o:hralign="center" o:hrstd="t" o:hr="t" fillcolor="#a0a0a0" stroked="f"/>
      </w:pict>
    </w:r>
  </w:p>
  <w:p w14:paraId="0DD68A01" w14:textId="77777777" w:rsidR="00513D96" w:rsidRPr="00513D96" w:rsidRDefault="00513D96" w:rsidP="00513D96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:sz w:val="36"/>
        <w:szCs w:val="36"/>
        <w14:ligatures w14:val="none"/>
      </w:rPr>
      <w:t>12. Summary: Business and Technical Impact</w:t>
    </w:r>
  </w:p>
  <w:p w14:paraId="7A78EE93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The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Retail-to-Mail Transfer Flow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replaces a fragmented, provider-dependent process with a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direct digital pathway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between retail and mail order.</w:t>
    </w:r>
  </w:p>
  <w:p w14:paraId="0C656FAC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Key Benefits:</w:t>
    </w:r>
  </w:p>
  <w:p w14:paraId="2A79CD1D" w14:textId="77777777" w:rsidR="00513D96" w:rsidRPr="00513D96" w:rsidRDefault="00513D96" w:rsidP="00513D96">
    <w:pPr>
      <w:numPr>
        <w:ilvl w:val="0"/>
        <w:numId w:val="17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>Eliminates provider bottlenecks → faster refill continuity.</w:t>
    </w:r>
  </w:p>
  <w:p w14:paraId="1DBE8AC8" w14:textId="77777777" w:rsidR="00513D96" w:rsidRPr="00513D96" w:rsidRDefault="00513D96" w:rsidP="00513D96">
    <w:pPr>
      <w:numPr>
        <w:ilvl w:val="0"/>
        <w:numId w:val="17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>Reduces call center load and manual work.</w:t>
    </w:r>
  </w:p>
  <w:p w14:paraId="31DEEBCE" w14:textId="77777777" w:rsidR="00513D96" w:rsidRPr="00513D96" w:rsidRDefault="00513D96" w:rsidP="00513D96">
    <w:pPr>
      <w:numPr>
        <w:ilvl w:val="0"/>
        <w:numId w:val="17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>Improves member experience with clearer progress visibility.</w:t>
    </w:r>
  </w:p>
  <w:p w14:paraId="50090CCF" w14:textId="77777777" w:rsidR="00513D96" w:rsidRPr="00513D96" w:rsidRDefault="00513D96" w:rsidP="00513D96">
    <w:pPr>
      <w:numPr>
        <w:ilvl w:val="0"/>
        <w:numId w:val="17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>Leverages CVS-Caremark APIs for scalable digital pharmacy transfer.</w:t>
    </w:r>
  </w:p>
  <w:p w14:paraId="063D4C47" w14:textId="77777777" w:rsidR="00513D96" w:rsidRPr="00513D96" w:rsidRDefault="00513D96" w:rsidP="00513D96">
    <w:pPr>
      <w:numPr>
        <w:ilvl w:val="0"/>
        <w:numId w:val="17"/>
      </w:num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Provides an extensible foundation for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Mail-to-Retail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and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multi-Rx bulk transfers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in future phases.</w:t>
    </w:r>
  </w:p>
  <w:p w14:paraId="78A3E28E" w14:textId="77777777" w:rsidR="00513D96" w:rsidRPr="00513D96" w:rsidRDefault="00513D96" w:rsidP="00513D96">
    <w:pPr>
      <w:spacing w:after="0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pict w14:anchorId="257668C8">
        <v:rect id="_x0000_i1038" style="width:0;height:1.5pt" o:hralign="center" o:hrstd="t" o:hr="t" fillcolor="#a0a0a0" stroked="f"/>
      </w:pict>
    </w:r>
  </w:p>
  <w:p w14:paraId="42376C94" w14:textId="77777777" w:rsidR="00513D96" w:rsidRPr="00513D96" w:rsidRDefault="00513D96" w:rsidP="00513D96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kern w:val="0"/>
        <w14:ligatures w14:val="none"/>
      </w:rPr>
    </w:pP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Would you like me to now generate the </w:t>
    </w:r>
    <w:r w:rsidRPr="00513D96">
      <w:rPr>
        <w:rFonts w:ascii="Times New Roman" w:eastAsia="Times New Roman" w:hAnsi="Times New Roman" w:cs="Times New Roman"/>
        <w:b/>
        <w:bCs/>
        <w:kern w:val="0"/>
        <w14:ligatures w14:val="none"/>
      </w:rPr>
      <w:t>PlantUML sequence and component diagrams</w:t>
    </w:r>
    <w:r w:rsidRPr="00513D96">
      <w:rPr>
        <w:rFonts w:ascii="Times New Roman" w:eastAsia="Times New Roman" w:hAnsi="Times New Roman" w:cs="Times New Roman"/>
        <w:kern w:val="0"/>
        <w14:ligatures w14:val="none"/>
      </w:rPr>
      <w:t xml:space="preserve"> (using AWS and CVS/Aetna boundaries) based on this flow narrative, ready for inclusion in your solution architecture deck?</w:t>
    </w:r>
  </w:p>
  <w:p w14:paraId="085978B2" w14:textId="77777777" w:rsidR="00513D96" w:rsidRDefault="00513D9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C338F" w14:textId="77777777" w:rsidR="00513D96" w:rsidRDefault="00513D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C16"/>
    <w:multiLevelType w:val="multilevel"/>
    <w:tmpl w:val="6632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342E7"/>
    <w:multiLevelType w:val="multilevel"/>
    <w:tmpl w:val="D206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A1B23"/>
    <w:multiLevelType w:val="multilevel"/>
    <w:tmpl w:val="AA72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02CDF"/>
    <w:multiLevelType w:val="multilevel"/>
    <w:tmpl w:val="31A8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A389D"/>
    <w:multiLevelType w:val="multilevel"/>
    <w:tmpl w:val="4E380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DC4C19"/>
    <w:multiLevelType w:val="multilevel"/>
    <w:tmpl w:val="411A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10CBD"/>
    <w:multiLevelType w:val="multilevel"/>
    <w:tmpl w:val="B666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52E94"/>
    <w:multiLevelType w:val="multilevel"/>
    <w:tmpl w:val="4712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54A2A"/>
    <w:multiLevelType w:val="multilevel"/>
    <w:tmpl w:val="0950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947E3"/>
    <w:multiLevelType w:val="multilevel"/>
    <w:tmpl w:val="1F02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51860"/>
    <w:multiLevelType w:val="multilevel"/>
    <w:tmpl w:val="9130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FF3E5D"/>
    <w:multiLevelType w:val="multilevel"/>
    <w:tmpl w:val="4E66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32066"/>
    <w:multiLevelType w:val="multilevel"/>
    <w:tmpl w:val="26308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015C17"/>
    <w:multiLevelType w:val="multilevel"/>
    <w:tmpl w:val="524A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529DF"/>
    <w:multiLevelType w:val="multilevel"/>
    <w:tmpl w:val="2EB4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B6669"/>
    <w:multiLevelType w:val="multilevel"/>
    <w:tmpl w:val="2FC4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E851A6"/>
    <w:multiLevelType w:val="multilevel"/>
    <w:tmpl w:val="34B8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910911">
    <w:abstractNumId w:val="9"/>
  </w:num>
  <w:num w:numId="2" w16cid:durableId="451631908">
    <w:abstractNumId w:val="13"/>
  </w:num>
  <w:num w:numId="3" w16cid:durableId="1842427888">
    <w:abstractNumId w:val="12"/>
  </w:num>
  <w:num w:numId="4" w16cid:durableId="2111731617">
    <w:abstractNumId w:val="11"/>
  </w:num>
  <w:num w:numId="5" w16cid:durableId="1345017274">
    <w:abstractNumId w:val="10"/>
  </w:num>
  <w:num w:numId="6" w16cid:durableId="968048444">
    <w:abstractNumId w:val="1"/>
  </w:num>
  <w:num w:numId="7" w16cid:durableId="1449199369">
    <w:abstractNumId w:val="8"/>
  </w:num>
  <w:num w:numId="8" w16cid:durableId="1202593110">
    <w:abstractNumId w:val="6"/>
  </w:num>
  <w:num w:numId="9" w16cid:durableId="150827602">
    <w:abstractNumId w:val="7"/>
  </w:num>
  <w:num w:numId="10" w16cid:durableId="275795499">
    <w:abstractNumId w:val="4"/>
  </w:num>
  <w:num w:numId="11" w16cid:durableId="1196233635">
    <w:abstractNumId w:val="0"/>
  </w:num>
  <w:num w:numId="12" w16cid:durableId="1576086320">
    <w:abstractNumId w:val="2"/>
  </w:num>
  <w:num w:numId="13" w16cid:durableId="1159495214">
    <w:abstractNumId w:val="16"/>
  </w:num>
  <w:num w:numId="14" w16cid:durableId="67964365">
    <w:abstractNumId w:val="15"/>
  </w:num>
  <w:num w:numId="15" w16cid:durableId="73674471">
    <w:abstractNumId w:val="3"/>
  </w:num>
  <w:num w:numId="16" w16cid:durableId="2025209578">
    <w:abstractNumId w:val="5"/>
  </w:num>
  <w:num w:numId="17" w16cid:durableId="128461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wMDUzMzCysLQ0MTBX0lEKTi0uzszPAykwrAUAJmOcyywAAAA="/>
  </w:docVars>
  <w:rsids>
    <w:rsidRoot w:val="00513D96"/>
    <w:rsid w:val="00226864"/>
    <w:rsid w:val="00513D96"/>
    <w:rsid w:val="008E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4A968A"/>
  <w15:chartTrackingRefBased/>
  <w15:docId w15:val="{51DA5B5A-B3A9-4AEC-9E19-7DD08E1EE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3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3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3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3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D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3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D96"/>
  </w:style>
  <w:style w:type="paragraph" w:styleId="Footer">
    <w:name w:val="footer"/>
    <w:basedOn w:val="Normal"/>
    <w:link w:val="FooterChar"/>
    <w:uiPriority w:val="99"/>
    <w:unhideWhenUsed/>
    <w:rsid w:val="00513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D96"/>
  </w:style>
  <w:style w:type="paragraph" w:styleId="NormalWeb">
    <w:name w:val="Normal (Web)"/>
    <w:basedOn w:val="Normal"/>
    <w:uiPriority w:val="99"/>
    <w:semiHidden/>
    <w:unhideWhenUsed/>
    <w:rsid w:val="00513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13D96"/>
    <w:rPr>
      <w:b/>
      <w:bCs/>
    </w:rPr>
  </w:style>
  <w:style w:type="character" w:styleId="Emphasis">
    <w:name w:val="Emphasis"/>
    <w:basedOn w:val="DefaultParagraphFont"/>
    <w:uiPriority w:val="20"/>
    <w:qFormat/>
    <w:rsid w:val="00513D9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3D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3D9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3D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Amram Dworkin</dc:creator>
  <cp:keywords/>
  <dc:description/>
  <cp:lastModifiedBy>Amram Dworkin</cp:lastModifiedBy>
  <cp:revision>1</cp:revision>
  <dcterms:created xsi:type="dcterms:W3CDTF">2025-10-15T12:40:00Z</dcterms:created>
  <dcterms:modified xsi:type="dcterms:W3CDTF">2025-10-15T12:42:00Z</dcterms:modified>
</cp:coreProperties>
</file>