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Service &amp; API Specifications — Addendum</w:t>
      </w:r>
    </w:p>
    <w:p>
      <w:r>
        <w:t>This addendum defines the new Aetna services required to access CVS Retail-to-Mail capabilities and details the CVS services. It also provides an alignment matrix between the Aetna contracts and the (referenced) YAML contract. Insert this section into the main Solutions Architecture document immediately AFTER '5. End-to-End Flow' and BEFORE 'Non-Functional Requirements', renumbering subsequent sections accordingly.</w:t>
      </w:r>
    </w:p>
    <w:p>
      <w:pPr>
        <w:pStyle w:val="Heading2"/>
      </w:pPr>
      <w:r>
        <w:t>A) New Aetna Services (BFF / Domain Layer)</w:t>
      </w:r>
    </w:p>
    <w:p>
      <w:r>
        <w:t>The Aetna layer exposes stable REST contracts to the app and adapts to CVS GraphQL/REST. All endpoints are under the /v1 namespace and require OAuth2 or mTLS per environment.</w:t>
      </w:r>
    </w:p>
    <w:p>
      <w:pPr>
        <w:pStyle w:val="Heading3"/>
      </w:pPr>
      <w:r>
        <w:t>A1. POST /v1/retail-to-mail/eligibility</w:t>
      </w:r>
    </w:p>
    <w:p>
      <w:r>
        <w:t>Purpose: Normalize eligibility across platforms and map CVS reason codes to user-facing messages.</w:t>
      </w:r>
    </w:p>
    <w:p>
      <w:r>
        <w:rPr>
          <w:rFonts w:ascii="Consolas" w:hAnsi="Consolas"/>
          <w:sz w:val="18"/>
        </w:rPr>
        <w:t>openapi: 3.0.3</w:t>
        <w:br/>
        <w:t>info: { title: Aetna Retail-to-Mail Eligibility, version: '1.0.0' }</w:t>
        <w:br/>
        <w:t>paths:</w:t>
        <w:br/>
        <w:t xml:space="preserve">  /v1/retail-to-mail/eligibility:</w:t>
        <w:br/>
        <w:t xml:space="preserve">    post:</w:t>
        <w:br/>
        <w:t xml:space="preserve">      summary: Check eligibility for retail-to-mail transfer</w:t>
        <w:br/>
        <w:t xml:space="preserve">      requestBody:</w:t>
        <w:br/>
        <w:t xml:space="preserve">        required: true</w:t>
        <w:br/>
        <w:t xml:space="preserve">        content:</w:t>
        <w:br/>
        <w:t xml:space="preserve">          application/json:</w:t>
        <w:br/>
        <w:t xml:space="preserve">            schema:</w:t>
        <w:br/>
        <w:t xml:space="preserve">              $ref: '#/components/schemas/EligibilityRequest'</w:t>
        <w:br/>
        <w:t xml:space="preserve">      responses:</w:t>
        <w:br/>
        <w:t xml:space="preserve">        '200':</w:t>
        <w:br/>
        <w:t xml:space="preserve">          description: Eligibility outcome</w:t>
        <w:br/>
        <w:t xml:space="preserve">          content:</w:t>
        <w:br/>
        <w:t xml:space="preserve">            application/json:</w:t>
        <w:br/>
        <w:t xml:space="preserve">              schema:</w:t>
        <w:br/>
        <w:t xml:space="preserve">                $ref: '#/components/schemas/EligibilityResponse'</w:t>
        <w:br/>
        <w:t>components:</w:t>
        <w:br/>
        <w:t xml:space="preserve">  schemas:</w:t>
        <w:br/>
        <w:t xml:space="preserve">    EligibilityRequest:</w:t>
        <w:br/>
        <w:t xml:space="preserve">      type: object</w:t>
        <w:br/>
        <w:t xml:space="preserve">      required: [memberId, cardholderId, patientId, prescription, prescriber, pharmacy]</w:t>
        <w:br/>
        <w:t xml:space="preserve">      properties:</w:t>
        <w:br/>
        <w:t xml:space="preserve">        memberId: { type: string }</w:t>
        <w:br/>
        <w:t xml:space="preserve">        cardholderId: { type: string }</w:t>
        <w:br/>
        <w:t xml:space="preserve">        patientId: { type: string }</w:t>
        <w:br/>
        <w:t xml:space="preserve">        prescription:</w:t>
        <w:br/>
        <w:t xml:space="preserve">          type: object</w:t>
        <w:br/>
        <w:t xml:space="preserve">          properties:</w:t>
        <w:br/>
        <w:t xml:space="preserve">            lookupKey: { type: string }</w:t>
        <w:br/>
        <w:t xml:space="preserve">            rxNumber: { type: string }</w:t>
        <w:br/>
        <w:t xml:space="preserve">            daysSupplyRemaining: { type: integer }</w:t>
        <w:br/>
        <w:t xml:space="preserve">        prescriber:</w:t>
        <w:br/>
        <w:t xml:space="preserve">          type: object</w:t>
        <w:br/>
        <w:t xml:space="preserve">          properties: { spiId: {type: string}, npiId: {type: string}, dea: {type: string} }</w:t>
        <w:br/>
        <w:t xml:space="preserve">        pharmacy:</w:t>
        <w:br/>
        <w:t xml:space="preserve">          type: object</w:t>
        <w:br/>
        <w:t xml:space="preserve">          properties: { ncpdpId: {type: string}, npiId: {type: string} }</w:t>
        <w:br/>
        <w:t xml:space="preserve">    EligibilityResponse:</w:t>
        <w:br/>
        <w:t xml:space="preserve">      type: object</w:t>
        <w:br/>
        <w:t xml:space="preserve">      required: [eligible, reasonCode, reasonText]</w:t>
        <w:br/>
        <w:t xml:space="preserve">      properties:</w:t>
        <w:br/>
        <w:t xml:space="preserve">        eligible: { type: boolean }</w:t>
        <w:br/>
        <w:t xml:space="preserve">        reasonCode: { type: string }</w:t>
        <w:br/>
        <w:t xml:space="preserve">        reasonText: { type: string }</w:t>
        <w:br/>
        <w:t xml:space="preserve">        cvsCorrelationId: { type: string }</w:t>
      </w:r>
    </w:p>
    <w:p>
      <w:pPr>
        <w:pStyle w:val="Heading3"/>
      </w:pPr>
      <w:r>
        <w:t>A2. POST /v1/retail-to-mail/transfer</w:t>
      </w:r>
    </w:p>
    <w:p>
      <w:r>
        <w:t>Purpose: Submit transfer when eligible; returns order identifiers and ETA when available.</w:t>
      </w:r>
    </w:p>
    <w:p>
      <w:r>
        <w:rPr>
          <w:rFonts w:ascii="Consolas" w:hAnsi="Consolas"/>
          <w:sz w:val="18"/>
        </w:rPr>
        <w:t>openapi: 3.0.3</w:t>
        <w:br/>
        <w:t>info: { title: Aetna Retail-to-Mail Submit Transfer, version: '1.0.0' }</w:t>
        <w:br/>
        <w:t>paths:</w:t>
        <w:br/>
        <w:t xml:space="preserve">  /v1/retail-to-mail/transfer:</w:t>
        <w:br/>
        <w:t xml:space="preserve">    post:</w:t>
        <w:br/>
        <w:t xml:space="preserve">      summary: Submit retail-to-mail transfer</w:t>
        <w:br/>
        <w:t xml:space="preserve">      requestBody:</w:t>
        <w:br/>
        <w:t xml:space="preserve">        required: true</w:t>
        <w:br/>
        <w:t xml:space="preserve">        content:</w:t>
        <w:br/>
        <w:t xml:space="preserve">          application/json:</w:t>
        <w:br/>
        <w:t xml:space="preserve">            schema:</w:t>
        <w:br/>
        <w:t xml:space="preserve">              $ref: '#/components/schemas/TransferRequest'</w:t>
        <w:br/>
        <w:t xml:space="preserve">      responses:</w:t>
        <w:br/>
        <w:t xml:space="preserve">        '200':</w:t>
        <w:br/>
        <w:t xml:space="preserve">          description: Transfer accepted</w:t>
        <w:br/>
        <w:t xml:space="preserve">          content:</w:t>
        <w:br/>
        <w:t xml:space="preserve">            application/json:</w:t>
        <w:br/>
        <w:t xml:space="preserve">              schema:</w:t>
        <w:br/>
        <w:t xml:space="preserve">                $ref: '#/components/schemas/TransferResponse'</w:t>
        <w:br/>
        <w:t>components:</w:t>
        <w:br/>
        <w:t xml:space="preserve">  schemas:</w:t>
        <w:br/>
        <w:t xml:space="preserve">    TransferRequest:</w:t>
        <w:br/>
        <w:t xml:space="preserve">      type: object</w:t>
        <w:br/>
        <w:t xml:space="preserve">      required: [transactionId, memberId, cardholderId, patientId, prescription, prescriber, pharmacy]</w:t>
        <w:br/>
        <w:t xml:space="preserve">      properties:</w:t>
        <w:br/>
        <w:t xml:space="preserve">        transactionId: { type: string }</w:t>
        <w:br/>
        <w:t xml:space="preserve">        memberId: { type: string }</w:t>
        <w:br/>
        <w:t xml:space="preserve">        cardholderId: { type: string }</w:t>
        <w:br/>
        <w:t xml:space="preserve">        patientId: { type: string }</w:t>
        <w:br/>
        <w:t xml:space="preserve">        prescription:</w:t>
        <w:br/>
        <w:t xml:space="preserve">          type: object</w:t>
        <w:br/>
        <w:t xml:space="preserve">          properties:</w:t>
        <w:br/>
        <w:t xml:space="preserve">            rxNumber: { type: string }</w:t>
        <w:br/>
        <w:t xml:space="preserve">            ndcId: { type: string }</w:t>
        <w:br/>
        <w:t xml:space="preserve">            daysSupply: { type: integer }</w:t>
        <w:br/>
        <w:t xml:space="preserve">        prescriber:</w:t>
        <w:br/>
        <w:t xml:space="preserve">          type: object</w:t>
        <w:br/>
        <w:t xml:space="preserve">          properties: { spiId: {type: string}, npiId: {type: string}, dea: {type: string} }</w:t>
        <w:br/>
        <w:t xml:space="preserve">        pharmacy:</w:t>
        <w:br/>
        <w:t xml:space="preserve">          type: object</w:t>
        <w:br/>
        <w:t xml:space="preserve">          properties: { ncpdpId: {type: string}, npiId: {type: string}, license: {type: string} }</w:t>
        <w:br/>
        <w:t xml:space="preserve">    TransferResponse:</w:t>
        <w:br/>
        <w:t xml:space="preserve">      type: object</w:t>
        <w:br/>
        <w:t xml:space="preserve">      required: [statusCode, statusDescription]</w:t>
        <w:br/>
        <w:t xml:space="preserve">      properties:</w:t>
        <w:br/>
        <w:t xml:space="preserve">        statusCode: { type: string, example: '0000' }</w:t>
        <w:br/>
        <w:t xml:space="preserve">        statusDescription: { type: string, example: 'Success' }</w:t>
        <w:br/>
        <w:t xml:space="preserve">        orderId: { type: string }</w:t>
        <w:br/>
        <w:t xml:space="preserve">        etaDays: { type: integer }</w:t>
        <w:br/>
        <w:t xml:space="preserve">        cvsCorrelationId: { type: string }</w:t>
      </w:r>
    </w:p>
    <w:p>
      <w:pPr>
        <w:pStyle w:val="Heading3"/>
      </w:pPr>
      <w:r>
        <w:t>A3. GET /v1/retail-to-mail/status/{transactionId}</w:t>
      </w:r>
    </w:p>
    <w:p>
      <w:r>
        <w:t>Purpose: Optional poll for frontends to retrieve latest state; backed by cached CVS responses or events.</w:t>
      </w:r>
    </w:p>
    <w:p>
      <w:r>
        <w:rPr>
          <w:rFonts w:ascii="Consolas" w:hAnsi="Consolas"/>
          <w:sz w:val="18"/>
        </w:rPr>
        <w:t>openapi: 3.0.3</w:t>
        <w:br/>
        <w:t>paths:</w:t>
        <w:br/>
        <w:t xml:space="preserve">  /v1/retail-to-mail/status/{transactionId}:</w:t>
        <w:br/>
        <w:t xml:space="preserve">    get:</w:t>
        <w:br/>
        <w:t xml:space="preserve">      summary: Get transfer status</w:t>
        <w:br/>
        <w:t xml:space="preserve">      parameters:</w:t>
        <w:br/>
        <w:t xml:space="preserve">        - in: path</w:t>
        <w:br/>
        <w:t xml:space="preserve">          name: transactionId</w:t>
        <w:br/>
        <w:t xml:space="preserve">          required: true</w:t>
        <w:br/>
        <w:t xml:space="preserve">          schema: { type: string }</w:t>
        <w:br/>
        <w:t xml:space="preserve">      responses:</w:t>
        <w:br/>
        <w:t xml:space="preserve">        '200':</w:t>
        <w:br/>
        <w:t xml:space="preserve">          description: Current status</w:t>
        <w:br/>
        <w:t xml:space="preserve">          content:</w:t>
        <w:br/>
        <w:t xml:space="preserve">            application/json:</w:t>
        <w:br/>
        <w:t xml:space="preserve">              schema:</w:t>
        <w:br/>
        <w:t xml:space="preserve">                type: object</w:t>
        <w:br/>
        <w:t xml:space="preserve">                properties:</w:t>
        <w:br/>
        <w:t xml:space="preserve">                  state: { type: string, enum: [ELIGIBLE, SUBMITTED, INACTIVATED, FULFILLMENT, FAILED] }</w:t>
        <w:br/>
        <w:t xml:space="preserve">                  reasonCode: { type: string }</w:t>
        <w:br/>
        <w:t xml:space="preserve">                  updatedAt: { type: string, format: date-time }</w:t>
      </w:r>
    </w:p>
    <w:p>
      <w:pPr>
        <w:pStyle w:val="Heading3"/>
      </w:pPr>
      <w:r>
        <w:t>A4. POST /v1/retail-to-mail/events (optional)</w:t>
      </w:r>
    </w:p>
    <w:p>
      <w:r>
        <w:t>Purpose: Webhook endpoint to ingest CVS async events (e.g., inactivation success).</w:t>
      </w:r>
    </w:p>
    <w:p>
      <w:pPr>
        <w:pStyle w:val="Heading2"/>
      </w:pPr>
      <w:r>
        <w:t>B) CVS Services (Consumed)</w:t>
      </w:r>
    </w:p>
    <w:p>
      <w:r>
        <w:t>The following are documented in the CVS Retail-to-Mail technical specification.</w:t>
      </w:r>
    </w:p>
    <w:p>
      <w:pPr>
        <w:pStyle w:val="Heading3"/>
      </w:pPr>
      <w:r>
        <w:t>B1. GraphQL — getRetailToMailRxTransferEligibility</w:t>
      </w:r>
    </w:p>
    <w:p>
      <w:r>
        <w:rPr>
          <w:rFonts w:ascii="Consolas" w:hAnsi="Consolas"/>
          <w:sz w:val="18"/>
        </w:rPr>
        <w:t>operation: getRetailToMailRxTransferEligibility(retailToMailTransferInput)</w:t>
        <w:br/>
        <w:t>input:</w:t>
        <w:br/>
        <w:t xml:space="preserve">  memberInfo { memberId, cardholderId, patientId }</w:t>
        <w:br/>
        <w:t xml:space="preserve">  prescriptionInfo { pbrNdcId, pbrWrittenDate, pbrRefillmaxqty, dispNdcId, daysSupply, lastFillDate, remainingRefills, daw, compoundInd, firstFillDate, ... }</w:t>
        <w:br/>
        <w:t xml:space="preserve">  prescriberInfo { spiId, pbrLastName, pbrFirstName, pbrPhone, pbrNpiId, pbrDea }</w:t>
        <w:br/>
        <w:t xml:space="preserve">  pharmacyInfo { sendingPharmacy { name/address/phone/nabpId/dea/npiId/license }, pharmacist { fullName } }</w:t>
        <w:br/>
        <w:t>response:</w:t>
        <w:br/>
        <w:t xml:space="preserve">  RetailToMailRxTransferResponse { statusCode, statusDescription, fault { type, title, moreInfo } }</w:t>
      </w:r>
    </w:p>
    <w:p>
      <w:pPr>
        <w:pStyle w:val="Heading3"/>
      </w:pPr>
      <w:r>
        <w:t>B2. REST — POST /externalrxtransfer/retailtomail</w:t>
      </w:r>
    </w:p>
    <w:p>
      <w:r>
        <w:rPr>
          <w:rFonts w:ascii="Consolas" w:hAnsi="Consolas"/>
          <w:sz w:val="18"/>
        </w:rPr>
        <w:t>POST https://&lt;env&gt;/microservices/external-rx-transfer/externalrxtransfer/retailtomail</w:t>
        <w:br/>
        <w:t>headers:</w:t>
        <w:br/>
        <w:t xml:space="preserve">  accept: application/json</w:t>
        <w:br/>
        <w:t xml:space="preserve">  content-type: application/json</w:t>
        <w:br/>
        <w:t xml:space="preserve">  x-grid: &lt;tenant&gt;</w:t>
        <w:br/>
        <w:t>body:</w:t>
        <w:br/>
        <w:t xml:space="preserve">  prescriptionLookupKey { pat { id, idType }, rx, store, fill }</w:t>
        <w:br/>
        <w:t xml:space="preserve">  requestPayload { transactionId, operationName, memberInfo, prescriptionInfo, prescriberInfo, pharmacyInfo }</w:t>
        <w:br/>
        <w:t>success:</w:t>
        <w:br/>
        <w:t xml:space="preserve">  { "statusCode": "0000", "statusDescription": "Success" }</w:t>
      </w:r>
    </w:p>
    <w:p>
      <w:pPr>
        <w:pStyle w:val="Heading3"/>
      </w:pPr>
      <w:r>
        <w:t>B3. Inactivate Rx — RxConnect (placeorder input)</w:t>
      </w:r>
    </w:p>
    <w:p>
      <w:r>
        <w:rPr>
          <w:rFonts w:ascii="Consolas" w:hAnsi="Consolas"/>
          <w:sz w:val="18"/>
        </w:rPr>
        <w:t>action: INACTIVATE_PRESCRIPTION</w:t>
        <w:br/>
        <w:t>fields:</w:t>
        <w:br/>
        <w:t xml:space="preserve">  fillRequestType: INACTIVATE_PRESCRIPTION</w:t>
        <w:br/>
        <w:t xml:space="preserve">  patient.id / idType</w:t>
        <w:br/>
        <w:t xml:space="preserve">  dispensingStore.facilityId</w:t>
        <w:br/>
        <w:t>reason:</w:t>
        <w:br/>
        <w:t xml:space="preserve">  "Customer Requested - Transferred to Mail" </w:t>
      </w:r>
    </w:p>
    <w:p>
      <w:pPr>
        <w:pStyle w:val="Heading2"/>
      </w:pPr>
      <w:r>
        <w:t>C) Contract Alignment (Aetna vs. YAML)</w:t>
      </w:r>
    </w:p>
    <w:p>
      <w:r>
        <w:t>The following matrix aligns Aetna contracts to the YAML service definitions supplied by the team. Fields not present in the YAML are marked MISSING. (Note: the YAML file was not present in the current uploads; placeholders are provided below—replace 'YAML.*' with actual object names once available.)</w:t>
      </w:r>
    </w:p>
    <w:tbl>
      <w:tblPr>
        <w:tblW w:type="auto" w:w="0"/>
        <w:tblLook w:firstColumn="1" w:firstRow="1" w:lastColumn="0" w:lastRow="0" w:noHBand="0" w:noVBand="1" w:val="04A0"/>
      </w:tblPr>
      <w:tblGrid>
        <w:gridCol w:w="2160"/>
        <w:gridCol w:w="2160"/>
        <w:gridCol w:w="2160"/>
        <w:gridCol w:w="2160"/>
      </w:tblGrid>
      <w:tr>
        <w:tc>
          <w:tcPr>
            <w:tcW w:type="dxa" w:w="2160"/>
          </w:tcPr>
          <w:p>
            <w:r>
              <w:t>Aetna Endpoint / Field</w:t>
            </w:r>
          </w:p>
        </w:tc>
        <w:tc>
          <w:tcPr>
            <w:tcW w:type="dxa" w:w="2160"/>
          </w:tcPr>
          <w:p>
            <w:r>
              <w:t>YAML Contract Object.Field</w:t>
            </w:r>
          </w:p>
        </w:tc>
        <w:tc>
          <w:tcPr>
            <w:tcW w:type="dxa" w:w="2160"/>
          </w:tcPr>
          <w:p>
            <w:r>
              <w:t>Mapping Status</w:t>
            </w:r>
          </w:p>
        </w:tc>
        <w:tc>
          <w:tcPr>
            <w:tcW w:type="dxa" w:w="2160"/>
          </w:tcPr>
          <w:p>
            <w:r>
              <w:t>Notes</w:t>
            </w:r>
          </w:p>
        </w:tc>
      </w:tr>
      <w:tr>
        <w:tc>
          <w:tcPr>
            <w:tcW w:type="dxa" w:w="2160"/>
          </w:tcPr>
          <w:p>
            <w:r>
              <w:t>/v1/retail-to-mail/eligibility.memberId</w:t>
            </w:r>
          </w:p>
        </w:tc>
        <w:tc>
          <w:tcPr>
            <w:tcW w:type="dxa" w:w="2160"/>
          </w:tcPr>
          <w:p>
            <w:r>
              <w:t>YAML.Member.memberId</w:t>
            </w:r>
          </w:p>
        </w:tc>
        <w:tc>
          <w:tcPr>
            <w:tcW w:type="dxa" w:w="2160"/>
          </w:tcPr>
          <w:p>
            <w:r>
              <w:t>PENDING</w:t>
            </w:r>
          </w:p>
        </w:tc>
        <w:tc>
          <w:tcPr>
            <w:tcW w:type="dxa" w:w="2160"/>
          </w:tcPr>
          <w:p>
            <w:r>
              <w:t>Verify memberId type and format</w:t>
            </w:r>
          </w:p>
        </w:tc>
      </w:tr>
      <w:tr>
        <w:tc>
          <w:tcPr>
            <w:tcW w:type="dxa" w:w="2160"/>
          </w:tcPr>
          <w:p>
            <w:r>
              <w:t>/v1/retail-to-mail/eligibility.prescription.lookupKey</w:t>
            </w:r>
          </w:p>
        </w:tc>
        <w:tc>
          <w:tcPr>
            <w:tcW w:type="dxa" w:w="2160"/>
          </w:tcPr>
          <w:p>
            <w:r>
              <w:t>YAML.Prescription.lookupKey</w:t>
            </w:r>
          </w:p>
        </w:tc>
        <w:tc>
          <w:tcPr>
            <w:tcW w:type="dxa" w:w="2160"/>
          </w:tcPr>
          <w:p>
            <w:r>
              <w:t>PENDING</w:t>
            </w:r>
          </w:p>
        </w:tc>
        <w:tc>
          <w:tcPr>
            <w:tcW w:type="dxa" w:w="2160"/>
          </w:tcPr>
          <w:p>
            <w:r>
              <w:t>Optional if rxNumber provided</w:t>
            </w:r>
          </w:p>
        </w:tc>
      </w:tr>
      <w:tr>
        <w:tc>
          <w:tcPr>
            <w:tcW w:type="dxa" w:w="2160"/>
          </w:tcPr>
          <w:p>
            <w:r>
              <w:t>/v1/retail-to-mail/transfer.transactionId</w:t>
            </w:r>
          </w:p>
        </w:tc>
        <w:tc>
          <w:tcPr>
            <w:tcW w:type="dxa" w:w="2160"/>
          </w:tcPr>
          <w:p>
            <w:r>
              <w:t>YAML.Common.transactionId</w:t>
            </w:r>
          </w:p>
        </w:tc>
        <w:tc>
          <w:tcPr>
            <w:tcW w:type="dxa" w:w="2160"/>
          </w:tcPr>
          <w:p>
            <w:r>
              <w:t>PENDING</w:t>
            </w:r>
          </w:p>
        </w:tc>
        <w:tc>
          <w:tcPr>
            <w:tcW w:type="dxa" w:w="2160"/>
          </w:tcPr>
          <w:p>
            <w:r>
              <w:t>Idempotency key</w:t>
            </w:r>
          </w:p>
        </w:tc>
      </w:tr>
      <w:tr>
        <w:tc>
          <w:tcPr>
            <w:tcW w:type="dxa" w:w="2160"/>
          </w:tcPr>
          <w:p>
            <w:r>
              <w:t>/v1/retail-to-mail/transfer.prescriber.spiId</w:t>
            </w:r>
          </w:p>
        </w:tc>
        <w:tc>
          <w:tcPr>
            <w:tcW w:type="dxa" w:w="2160"/>
          </w:tcPr>
          <w:p>
            <w:r>
              <w:t>YAML.Prescriber.spiId</w:t>
            </w:r>
          </w:p>
        </w:tc>
        <w:tc>
          <w:tcPr>
            <w:tcW w:type="dxa" w:w="2160"/>
          </w:tcPr>
          <w:p>
            <w:r>
              <w:t>PENDING</w:t>
            </w:r>
          </w:p>
        </w:tc>
        <w:tc>
          <w:tcPr>
            <w:tcW w:type="dxa" w:w="2160"/>
          </w:tcPr>
          <w:p>
            <w:r>
              <w:t>Required by CVS GraphQL</w:t>
            </w:r>
          </w:p>
        </w:tc>
      </w:tr>
      <w:tr>
        <w:tc>
          <w:tcPr>
            <w:tcW w:type="dxa" w:w="2160"/>
          </w:tcPr>
          <w:p>
            <w:r>
              <w:t>/v1/retail-to-mail/transfer.pharmacy.ncpdpId</w:t>
            </w:r>
          </w:p>
        </w:tc>
        <w:tc>
          <w:tcPr>
            <w:tcW w:type="dxa" w:w="2160"/>
          </w:tcPr>
          <w:p>
            <w:r>
              <w:t>YAML.Pharmacy.ncpdpId</w:t>
            </w:r>
          </w:p>
        </w:tc>
        <w:tc>
          <w:tcPr>
            <w:tcW w:type="dxa" w:w="2160"/>
          </w:tcPr>
          <w:p>
            <w:r>
              <w:t>PENDING</w:t>
            </w:r>
          </w:p>
        </w:tc>
        <w:tc>
          <w:tcPr>
            <w:tcW w:type="dxa" w:w="2160"/>
          </w:tcPr>
          <w:p>
            <w:r>
              <w:t>Map to CVS nabpId if needed</w:t>
            </w:r>
          </w:p>
        </w:tc>
      </w:tr>
      <w:tr>
        <w:tc>
          <w:tcPr>
            <w:tcW w:type="dxa" w:w="2160"/>
          </w:tcPr>
          <w:p>
            <w:r>
              <w:t>/v1/retail-to-mail/status.state</w:t>
            </w:r>
          </w:p>
        </w:tc>
        <w:tc>
          <w:tcPr>
            <w:tcW w:type="dxa" w:w="2160"/>
          </w:tcPr>
          <w:p>
            <w:r>
              <w:t>YAML.Status.state</w:t>
            </w:r>
          </w:p>
        </w:tc>
        <w:tc>
          <w:tcPr>
            <w:tcW w:type="dxa" w:w="2160"/>
          </w:tcPr>
          <w:p>
            <w:r>
              <w:t>PENDING</w:t>
            </w:r>
          </w:p>
        </w:tc>
        <w:tc>
          <w:tcPr>
            <w:tcW w:type="dxa" w:w="2160"/>
          </w:tcPr>
          <w:p>
            <w:r>
              <w:t>Enum alignment</w:t>
            </w:r>
          </w:p>
        </w:tc>
      </w:tr>
    </w:tbl>
    <w:p>
      <w:pPr>
        <w:pStyle w:val="Heading2"/>
      </w:pPr>
      <w:r>
        <w:t>D) Placement Guidance</w:t>
      </w:r>
    </w:p>
    <w:p>
      <w:r>
        <w:t>Insert this entire addendum as a new section titled '6. Service &amp; API Specifications' in the main document, directly after '5. End-to-End Flow'. Renumber 'Non-Functional Requirements' to section 7 and subsequent sections accordingly.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