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db3f57hktq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Connect to Kaggle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Whenever we use a dataset from Kaggle, we load it directly using the Kaggle API.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1bfd7wf6o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Steps to Load a Kaggle Dataset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load any Kaggle dataset, follow these steps: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arjfva9vd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Download Kaggle's Beta API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 have downloaded Kaggle's beta API. You also need to accept the Kaggle competition rules for the specific dataset or competition you want to access.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wiy2ys1q9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Kaggle API Credentials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your Kaggle account settings.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to the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 section.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Create New API Token</w:t>
      </w:r>
      <w:r w:rsidDel="00000000" w:rsidR="00000000" w:rsidRPr="00000000">
        <w:rPr>
          <w:rtl w:val="0"/>
        </w:rPr>
        <w:t xml:space="preserve">. This will download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kaggle.json</w:t>
      </w:r>
      <w:r w:rsidDel="00000000" w:rsidR="00000000" w:rsidRPr="00000000">
        <w:rPr>
          <w:rtl w:val="0"/>
        </w:rPr>
        <w:t xml:space="preserve"> file containing your Kaggle API credentials.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q9zf38iv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Upload Kaggle Credentials to Colab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the Kaggle API in Google Colab, upload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kaggle.json</w:t>
      </w:r>
      <w:r w:rsidDel="00000000" w:rsidR="00000000" w:rsidRPr="00000000">
        <w:rPr>
          <w:rtl w:val="0"/>
        </w:rPr>
        <w:t xml:space="preserve"> file to your Colab environment.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