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7248" w14:textId="77777777" w:rsidR="00A26520" w:rsidRDefault="00A26520"/>
    <w:p w14:paraId="01DA28C0" w14:textId="08A7E75D" w:rsidR="00A26520" w:rsidRDefault="00A26520" w:rsidP="00554190">
      <w:pPr>
        <w:pStyle w:val="a7"/>
        <w:jc w:val="center"/>
      </w:pPr>
      <w:r>
        <w:t xml:space="preserve">OHDSI </w:t>
      </w:r>
      <w:r w:rsidR="00640D6C">
        <w:t>Comparison of combination treatment in hypertension</w:t>
      </w:r>
    </w:p>
    <w:p w14:paraId="4EE5C3B0" w14:textId="4D389592" w:rsidR="00DA5BC8" w:rsidRPr="00DA5BC8" w:rsidRDefault="0092461C">
      <w:r>
        <w:rPr>
          <w:b/>
        </w:rPr>
        <w:t>Version</w:t>
      </w:r>
      <w:r w:rsidR="00FE2F14">
        <w:rPr>
          <w:b/>
        </w:rPr>
        <w:t>:</w:t>
      </w:r>
      <w:r>
        <w:rPr>
          <w:b/>
        </w:rPr>
        <w:t xml:space="preserve"> </w:t>
      </w:r>
      <w:r w:rsidR="0062771D">
        <w:t>0.3</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C3D5AE5" w:rsidR="00F05D4D" w:rsidRDefault="00F05D4D" w:rsidP="00CA21CE">
      <w:pPr>
        <w:rPr>
          <w:lang w:eastAsia="ko-KR"/>
        </w:rPr>
      </w:pPr>
      <w:r>
        <w:rPr>
          <w:lang w:eastAsia="ko-KR"/>
        </w:rPr>
        <w:t xml:space="preserve">Seng Chan You, MD, </w:t>
      </w:r>
      <w:proofErr w:type="spellStart"/>
      <w:r>
        <w:rPr>
          <w:lang w:eastAsia="ko-KR"/>
        </w:rPr>
        <w:t>Ajou</w:t>
      </w:r>
      <w:proofErr w:type="spellEnd"/>
      <w:r>
        <w:rPr>
          <w:lang w:eastAsia="ko-KR"/>
        </w:rPr>
        <w:t xml:space="preserve"> University, Korea</w:t>
      </w:r>
    </w:p>
    <w:p w14:paraId="68D4F382" w14:textId="77D8BFAD" w:rsidR="00A201D8" w:rsidRDefault="00A201D8" w:rsidP="00CA21CE">
      <w:pPr>
        <w:rPr>
          <w:lang w:eastAsia="ko-KR"/>
        </w:rPr>
      </w:pPr>
      <w:proofErr w:type="spellStart"/>
      <w:r>
        <w:rPr>
          <w:rFonts w:hint="eastAsia"/>
          <w:lang w:eastAsia="ko-KR"/>
        </w:rPr>
        <w:t>S</w:t>
      </w:r>
      <w:r>
        <w:rPr>
          <w:lang w:eastAsia="ko-KR"/>
        </w:rPr>
        <w:t>ungjae</w:t>
      </w:r>
      <w:proofErr w:type="spellEnd"/>
      <w:r>
        <w:rPr>
          <w:lang w:eastAsia="ko-KR"/>
        </w:rPr>
        <w:t xml:space="preserve"> Jung, BE, </w:t>
      </w:r>
      <w:proofErr w:type="spellStart"/>
      <w:r>
        <w:rPr>
          <w:lang w:eastAsia="ko-KR"/>
        </w:rPr>
        <w:t>Ajou</w:t>
      </w:r>
      <w:proofErr w:type="spellEnd"/>
      <w:r>
        <w:rPr>
          <w:lang w:eastAsia="ko-KR"/>
        </w:rPr>
        <w:t xml:space="preserve"> University, Korea</w:t>
      </w:r>
    </w:p>
    <w:p w14:paraId="513E45C9" w14:textId="5513500F" w:rsidR="0040297A" w:rsidRDefault="0040297A" w:rsidP="00CA21CE">
      <w:pPr>
        <w:rPr>
          <w:lang w:eastAsia="ko-KR"/>
        </w:rPr>
      </w:pPr>
      <w:proofErr w:type="spellStart"/>
      <w:r>
        <w:rPr>
          <w:lang w:eastAsia="ko-KR"/>
        </w:rPr>
        <w:t>Sungha</w:t>
      </w:r>
      <w:proofErr w:type="spellEnd"/>
      <w:r>
        <w:rPr>
          <w:lang w:eastAsia="ko-KR"/>
        </w:rPr>
        <w:t xml:space="preserve"> Park, MD</w:t>
      </w:r>
      <w:r w:rsidR="001E5B62">
        <w:rPr>
          <w:lang w:eastAsia="ko-KR"/>
        </w:rPr>
        <w:t xml:space="preserve">, </w:t>
      </w:r>
      <w:proofErr w:type="spellStart"/>
      <w:r w:rsidR="001E5B62">
        <w:rPr>
          <w:lang w:eastAsia="ko-KR"/>
        </w:rPr>
        <w:t>Yonsei</w:t>
      </w:r>
      <w:proofErr w:type="spellEnd"/>
      <w:r w:rsidR="001E5B62">
        <w:rPr>
          <w:lang w:eastAsia="ko-KR"/>
        </w:rPr>
        <w:t xml:space="preserve"> university College of Medicine, Korea</w:t>
      </w:r>
    </w:p>
    <w:p w14:paraId="26E58080" w14:textId="1475B822" w:rsidR="0071742D" w:rsidRDefault="0071742D" w:rsidP="00CA21CE">
      <w:r>
        <w:t xml:space="preserve">Rae Woong Park, MD, PhD, </w:t>
      </w:r>
      <w:proofErr w:type="spellStart"/>
      <w:r>
        <w:t>Ajou</w:t>
      </w:r>
      <w:proofErr w:type="spellEnd"/>
      <w:r>
        <w:t xml:space="preserve"> University, Korea</w:t>
      </w:r>
    </w:p>
    <w:p w14:paraId="5E922FC6" w14:textId="77777777" w:rsidR="00CA21CE" w:rsidRPr="00CB5628" w:rsidRDefault="00CA21CE"/>
    <w:p w14:paraId="6B1D3C49" w14:textId="601DE9BF" w:rsidR="009D45C8" w:rsidRDefault="00A26520">
      <w:r w:rsidRPr="00554190">
        <w:rPr>
          <w:b/>
        </w:rPr>
        <w:t>Date</w:t>
      </w:r>
      <w:r w:rsidR="0074593E" w:rsidRPr="00554190">
        <w:rPr>
          <w:b/>
        </w:rPr>
        <w:t>:</w:t>
      </w:r>
      <w:r w:rsidR="00EE506E">
        <w:t xml:space="preserve">  </w:t>
      </w:r>
      <w:r w:rsidR="009D45C8">
        <w:t>2-Jan-17</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6163939C" w14:textId="7479053D" w:rsidR="0006023B"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470944203" w:history="1">
            <w:r w:rsidR="0006023B" w:rsidRPr="00465382">
              <w:rPr>
                <w:rStyle w:val="a3"/>
                <w:noProof/>
              </w:rPr>
              <w:t>2</w:t>
            </w:r>
            <w:r w:rsidR="0006023B">
              <w:rPr>
                <w:rFonts w:eastAsiaTheme="minorEastAsia"/>
                <w:noProof/>
                <w:kern w:val="2"/>
                <w:sz w:val="20"/>
                <w:lang w:eastAsia="ko-KR"/>
              </w:rPr>
              <w:tab/>
            </w:r>
            <w:r w:rsidR="0006023B" w:rsidRPr="00465382">
              <w:rPr>
                <w:rStyle w:val="a3"/>
                <w:noProof/>
              </w:rPr>
              <w:t>List of abbreviations</w:t>
            </w:r>
            <w:r w:rsidR="0006023B">
              <w:rPr>
                <w:noProof/>
                <w:webHidden/>
              </w:rPr>
              <w:tab/>
            </w:r>
            <w:r w:rsidR="0006023B">
              <w:rPr>
                <w:noProof/>
                <w:webHidden/>
              </w:rPr>
              <w:fldChar w:fldCharType="begin"/>
            </w:r>
            <w:r w:rsidR="0006023B">
              <w:rPr>
                <w:noProof/>
                <w:webHidden/>
              </w:rPr>
              <w:instrText xml:space="preserve"> PAGEREF _Toc470944203 \h </w:instrText>
            </w:r>
            <w:r w:rsidR="0006023B">
              <w:rPr>
                <w:noProof/>
                <w:webHidden/>
              </w:rPr>
            </w:r>
            <w:r w:rsidR="0006023B">
              <w:rPr>
                <w:noProof/>
                <w:webHidden/>
              </w:rPr>
              <w:fldChar w:fldCharType="separate"/>
            </w:r>
            <w:r w:rsidR="0006023B">
              <w:rPr>
                <w:noProof/>
                <w:webHidden/>
              </w:rPr>
              <w:t>2</w:t>
            </w:r>
            <w:r w:rsidR="0006023B">
              <w:rPr>
                <w:noProof/>
                <w:webHidden/>
              </w:rPr>
              <w:fldChar w:fldCharType="end"/>
            </w:r>
          </w:hyperlink>
        </w:p>
        <w:p w14:paraId="4422BF8F" w14:textId="34D0A56B" w:rsidR="0006023B" w:rsidRDefault="00020DCB">
          <w:pPr>
            <w:pStyle w:val="10"/>
            <w:tabs>
              <w:tab w:val="left" w:pos="440"/>
              <w:tab w:val="right" w:leader="dot" w:pos="9350"/>
            </w:tabs>
            <w:rPr>
              <w:rFonts w:eastAsiaTheme="minorEastAsia"/>
              <w:noProof/>
              <w:kern w:val="2"/>
              <w:sz w:val="20"/>
              <w:lang w:eastAsia="ko-KR"/>
            </w:rPr>
          </w:pPr>
          <w:hyperlink w:anchor="_Toc470944204" w:history="1">
            <w:r w:rsidR="0006023B" w:rsidRPr="00465382">
              <w:rPr>
                <w:rStyle w:val="a3"/>
                <w:noProof/>
              </w:rPr>
              <w:t>3</w:t>
            </w:r>
            <w:r w:rsidR="0006023B">
              <w:rPr>
                <w:rFonts w:eastAsiaTheme="minorEastAsia"/>
                <w:noProof/>
                <w:kern w:val="2"/>
                <w:sz w:val="20"/>
                <w:lang w:eastAsia="ko-KR"/>
              </w:rPr>
              <w:tab/>
            </w:r>
            <w:r w:rsidR="0006023B" w:rsidRPr="00465382">
              <w:rPr>
                <w:rStyle w:val="a3"/>
                <w:noProof/>
              </w:rPr>
              <w:t>Abstract</w:t>
            </w:r>
            <w:r w:rsidR="0006023B">
              <w:rPr>
                <w:noProof/>
                <w:webHidden/>
              </w:rPr>
              <w:tab/>
            </w:r>
            <w:r w:rsidR="0006023B">
              <w:rPr>
                <w:noProof/>
                <w:webHidden/>
              </w:rPr>
              <w:fldChar w:fldCharType="begin"/>
            </w:r>
            <w:r w:rsidR="0006023B">
              <w:rPr>
                <w:noProof/>
                <w:webHidden/>
              </w:rPr>
              <w:instrText xml:space="preserve"> PAGEREF _Toc470944204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041B9C68" w14:textId="4BEED533" w:rsidR="0006023B" w:rsidRDefault="00020DCB">
          <w:pPr>
            <w:pStyle w:val="10"/>
            <w:tabs>
              <w:tab w:val="left" w:pos="440"/>
              <w:tab w:val="right" w:leader="dot" w:pos="9350"/>
            </w:tabs>
            <w:rPr>
              <w:rFonts w:eastAsiaTheme="minorEastAsia"/>
              <w:noProof/>
              <w:kern w:val="2"/>
              <w:sz w:val="20"/>
              <w:lang w:eastAsia="ko-KR"/>
            </w:rPr>
          </w:pPr>
          <w:hyperlink w:anchor="_Toc470944205" w:history="1">
            <w:r w:rsidR="0006023B" w:rsidRPr="00465382">
              <w:rPr>
                <w:rStyle w:val="a3"/>
                <w:noProof/>
              </w:rPr>
              <w:t>4</w:t>
            </w:r>
            <w:r w:rsidR="0006023B">
              <w:rPr>
                <w:rFonts w:eastAsiaTheme="minorEastAsia"/>
                <w:noProof/>
                <w:kern w:val="2"/>
                <w:sz w:val="20"/>
                <w:lang w:eastAsia="ko-KR"/>
              </w:rPr>
              <w:tab/>
            </w:r>
            <w:r w:rsidR="0006023B" w:rsidRPr="00465382">
              <w:rPr>
                <w:rStyle w:val="a3"/>
                <w:noProof/>
              </w:rPr>
              <w:t>Rationale and Background</w:t>
            </w:r>
            <w:r w:rsidR="0006023B">
              <w:rPr>
                <w:noProof/>
                <w:webHidden/>
              </w:rPr>
              <w:tab/>
            </w:r>
            <w:r w:rsidR="0006023B">
              <w:rPr>
                <w:noProof/>
                <w:webHidden/>
              </w:rPr>
              <w:fldChar w:fldCharType="begin"/>
            </w:r>
            <w:r w:rsidR="0006023B">
              <w:rPr>
                <w:noProof/>
                <w:webHidden/>
              </w:rPr>
              <w:instrText xml:space="preserve"> PAGEREF _Toc470944205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324BF1E3" w14:textId="045A1BB8" w:rsidR="0006023B" w:rsidRDefault="00020DCB">
          <w:pPr>
            <w:pStyle w:val="10"/>
            <w:tabs>
              <w:tab w:val="left" w:pos="440"/>
              <w:tab w:val="right" w:leader="dot" w:pos="9350"/>
            </w:tabs>
            <w:rPr>
              <w:rFonts w:eastAsiaTheme="minorEastAsia"/>
              <w:noProof/>
              <w:kern w:val="2"/>
              <w:sz w:val="20"/>
              <w:lang w:eastAsia="ko-KR"/>
            </w:rPr>
          </w:pPr>
          <w:hyperlink w:anchor="_Toc470944206" w:history="1">
            <w:r w:rsidR="0006023B" w:rsidRPr="00465382">
              <w:rPr>
                <w:rStyle w:val="a3"/>
                <w:noProof/>
              </w:rPr>
              <w:t>5</w:t>
            </w:r>
            <w:r w:rsidR="0006023B">
              <w:rPr>
                <w:rFonts w:eastAsiaTheme="minorEastAsia"/>
                <w:noProof/>
                <w:kern w:val="2"/>
                <w:sz w:val="20"/>
                <w:lang w:eastAsia="ko-KR"/>
              </w:rPr>
              <w:tab/>
            </w:r>
            <w:r w:rsidR="0006023B" w:rsidRPr="00465382">
              <w:rPr>
                <w:rStyle w:val="a3"/>
                <w:noProof/>
              </w:rPr>
              <w:t>Research Questions and Objectives</w:t>
            </w:r>
            <w:r w:rsidR="0006023B">
              <w:rPr>
                <w:noProof/>
                <w:webHidden/>
              </w:rPr>
              <w:tab/>
            </w:r>
            <w:r w:rsidR="0006023B">
              <w:rPr>
                <w:noProof/>
                <w:webHidden/>
              </w:rPr>
              <w:fldChar w:fldCharType="begin"/>
            </w:r>
            <w:r w:rsidR="0006023B">
              <w:rPr>
                <w:noProof/>
                <w:webHidden/>
              </w:rPr>
              <w:instrText xml:space="preserve"> PAGEREF _Toc470944206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268B5C78" w14:textId="18FD2690" w:rsidR="0006023B" w:rsidRDefault="00020DCB">
          <w:pPr>
            <w:pStyle w:val="20"/>
            <w:tabs>
              <w:tab w:val="left" w:pos="800"/>
              <w:tab w:val="right" w:leader="dot" w:pos="9350"/>
            </w:tabs>
            <w:rPr>
              <w:rFonts w:eastAsiaTheme="minorEastAsia"/>
              <w:noProof/>
              <w:kern w:val="2"/>
              <w:sz w:val="20"/>
              <w:lang w:eastAsia="ko-KR"/>
            </w:rPr>
          </w:pPr>
          <w:hyperlink w:anchor="_Toc470944207" w:history="1">
            <w:r w:rsidR="0006023B" w:rsidRPr="00465382">
              <w:rPr>
                <w:rStyle w:val="a3"/>
                <w:noProof/>
              </w:rPr>
              <w:t>5.1</w:t>
            </w:r>
            <w:r w:rsidR="0006023B">
              <w:rPr>
                <w:rFonts w:eastAsiaTheme="minorEastAsia"/>
                <w:noProof/>
                <w:kern w:val="2"/>
                <w:sz w:val="20"/>
                <w:lang w:eastAsia="ko-KR"/>
              </w:rPr>
              <w:tab/>
            </w:r>
            <w:r w:rsidR="0006023B" w:rsidRPr="00465382">
              <w:rPr>
                <w:rStyle w:val="a3"/>
                <w:noProof/>
              </w:rPr>
              <w:t>Research Questions</w:t>
            </w:r>
            <w:r w:rsidR="0006023B">
              <w:rPr>
                <w:noProof/>
                <w:webHidden/>
              </w:rPr>
              <w:tab/>
            </w:r>
            <w:r w:rsidR="0006023B">
              <w:rPr>
                <w:noProof/>
                <w:webHidden/>
              </w:rPr>
              <w:fldChar w:fldCharType="begin"/>
            </w:r>
            <w:r w:rsidR="0006023B">
              <w:rPr>
                <w:noProof/>
                <w:webHidden/>
              </w:rPr>
              <w:instrText xml:space="preserve"> PAGEREF _Toc470944207 \h </w:instrText>
            </w:r>
            <w:r w:rsidR="0006023B">
              <w:rPr>
                <w:noProof/>
                <w:webHidden/>
              </w:rPr>
            </w:r>
            <w:r w:rsidR="0006023B">
              <w:rPr>
                <w:noProof/>
                <w:webHidden/>
              </w:rPr>
              <w:fldChar w:fldCharType="separate"/>
            </w:r>
            <w:r w:rsidR="0006023B">
              <w:rPr>
                <w:noProof/>
                <w:webHidden/>
              </w:rPr>
              <w:t>3</w:t>
            </w:r>
            <w:r w:rsidR="0006023B">
              <w:rPr>
                <w:noProof/>
                <w:webHidden/>
              </w:rPr>
              <w:fldChar w:fldCharType="end"/>
            </w:r>
          </w:hyperlink>
        </w:p>
        <w:p w14:paraId="4B673A9D" w14:textId="1F32625B" w:rsidR="0006023B" w:rsidRDefault="00020DCB">
          <w:pPr>
            <w:pStyle w:val="20"/>
            <w:tabs>
              <w:tab w:val="left" w:pos="800"/>
              <w:tab w:val="right" w:leader="dot" w:pos="9350"/>
            </w:tabs>
            <w:rPr>
              <w:rFonts w:eastAsiaTheme="minorEastAsia"/>
              <w:noProof/>
              <w:kern w:val="2"/>
              <w:sz w:val="20"/>
              <w:lang w:eastAsia="ko-KR"/>
            </w:rPr>
          </w:pPr>
          <w:hyperlink w:anchor="_Toc470944208" w:history="1">
            <w:r w:rsidR="0006023B" w:rsidRPr="00465382">
              <w:rPr>
                <w:rStyle w:val="a3"/>
                <w:noProof/>
              </w:rPr>
              <w:t>5.2</w:t>
            </w:r>
            <w:r w:rsidR="0006023B">
              <w:rPr>
                <w:rFonts w:eastAsiaTheme="minorEastAsia"/>
                <w:noProof/>
                <w:kern w:val="2"/>
                <w:sz w:val="20"/>
                <w:lang w:eastAsia="ko-KR"/>
              </w:rPr>
              <w:tab/>
            </w:r>
            <w:r w:rsidR="0006023B" w:rsidRPr="00465382">
              <w:rPr>
                <w:rStyle w:val="a3"/>
                <w:noProof/>
              </w:rPr>
              <w:t>Objectives</w:t>
            </w:r>
            <w:r w:rsidR="0006023B">
              <w:rPr>
                <w:noProof/>
                <w:webHidden/>
              </w:rPr>
              <w:tab/>
            </w:r>
            <w:r w:rsidR="0006023B">
              <w:rPr>
                <w:noProof/>
                <w:webHidden/>
              </w:rPr>
              <w:fldChar w:fldCharType="begin"/>
            </w:r>
            <w:r w:rsidR="0006023B">
              <w:rPr>
                <w:noProof/>
                <w:webHidden/>
              </w:rPr>
              <w:instrText xml:space="preserve"> PAGEREF _Toc470944208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52407CC4" w14:textId="3C6ED337" w:rsidR="0006023B" w:rsidRDefault="00020DCB">
          <w:pPr>
            <w:pStyle w:val="10"/>
            <w:tabs>
              <w:tab w:val="left" w:pos="440"/>
              <w:tab w:val="right" w:leader="dot" w:pos="9350"/>
            </w:tabs>
            <w:rPr>
              <w:rFonts w:eastAsiaTheme="minorEastAsia"/>
              <w:noProof/>
              <w:kern w:val="2"/>
              <w:sz w:val="20"/>
              <w:lang w:eastAsia="ko-KR"/>
            </w:rPr>
          </w:pPr>
          <w:hyperlink w:anchor="_Toc470944209" w:history="1">
            <w:r w:rsidR="0006023B" w:rsidRPr="00465382">
              <w:rPr>
                <w:rStyle w:val="a3"/>
                <w:noProof/>
              </w:rPr>
              <w:t>6</w:t>
            </w:r>
            <w:r w:rsidR="0006023B">
              <w:rPr>
                <w:rFonts w:eastAsiaTheme="minorEastAsia"/>
                <w:noProof/>
                <w:kern w:val="2"/>
                <w:sz w:val="20"/>
                <w:lang w:eastAsia="ko-KR"/>
              </w:rPr>
              <w:tab/>
            </w:r>
            <w:r w:rsidR="0006023B" w:rsidRPr="00465382">
              <w:rPr>
                <w:rStyle w:val="a3"/>
                <w:noProof/>
              </w:rPr>
              <w:t>Research methods</w:t>
            </w:r>
            <w:r w:rsidR="0006023B">
              <w:rPr>
                <w:noProof/>
                <w:webHidden/>
              </w:rPr>
              <w:tab/>
            </w:r>
            <w:r w:rsidR="0006023B">
              <w:rPr>
                <w:noProof/>
                <w:webHidden/>
              </w:rPr>
              <w:fldChar w:fldCharType="begin"/>
            </w:r>
            <w:r w:rsidR="0006023B">
              <w:rPr>
                <w:noProof/>
                <w:webHidden/>
              </w:rPr>
              <w:instrText xml:space="preserve"> PAGEREF _Toc470944209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0EFF3BFB" w14:textId="2CD706B6" w:rsidR="0006023B" w:rsidRDefault="00020DCB">
          <w:pPr>
            <w:pStyle w:val="20"/>
            <w:tabs>
              <w:tab w:val="left" w:pos="800"/>
              <w:tab w:val="right" w:leader="dot" w:pos="9350"/>
            </w:tabs>
            <w:rPr>
              <w:rFonts w:eastAsiaTheme="minorEastAsia"/>
              <w:noProof/>
              <w:kern w:val="2"/>
              <w:sz w:val="20"/>
              <w:lang w:eastAsia="ko-KR"/>
            </w:rPr>
          </w:pPr>
          <w:hyperlink w:anchor="_Toc470944210" w:history="1">
            <w:r w:rsidR="0006023B" w:rsidRPr="00465382">
              <w:rPr>
                <w:rStyle w:val="a3"/>
                <w:noProof/>
              </w:rPr>
              <w:t>6.1</w:t>
            </w:r>
            <w:r w:rsidR="0006023B">
              <w:rPr>
                <w:rFonts w:eastAsiaTheme="minorEastAsia"/>
                <w:noProof/>
                <w:kern w:val="2"/>
                <w:sz w:val="20"/>
                <w:lang w:eastAsia="ko-KR"/>
              </w:rPr>
              <w:tab/>
            </w:r>
            <w:r w:rsidR="0006023B" w:rsidRPr="00465382">
              <w:rPr>
                <w:rStyle w:val="a3"/>
                <w:noProof/>
              </w:rPr>
              <w:t>Study Design</w:t>
            </w:r>
            <w:r w:rsidR="0006023B">
              <w:rPr>
                <w:noProof/>
                <w:webHidden/>
              </w:rPr>
              <w:tab/>
            </w:r>
            <w:r w:rsidR="0006023B">
              <w:rPr>
                <w:noProof/>
                <w:webHidden/>
              </w:rPr>
              <w:fldChar w:fldCharType="begin"/>
            </w:r>
            <w:r w:rsidR="0006023B">
              <w:rPr>
                <w:noProof/>
                <w:webHidden/>
              </w:rPr>
              <w:instrText xml:space="preserve"> PAGEREF _Toc470944210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70ACB850" w14:textId="1D0E2405" w:rsidR="0006023B" w:rsidRDefault="00020DCB">
          <w:pPr>
            <w:pStyle w:val="30"/>
            <w:tabs>
              <w:tab w:val="left" w:pos="1200"/>
              <w:tab w:val="right" w:leader="dot" w:pos="9350"/>
            </w:tabs>
            <w:rPr>
              <w:rFonts w:eastAsiaTheme="minorEastAsia"/>
              <w:noProof/>
              <w:kern w:val="2"/>
              <w:sz w:val="20"/>
              <w:lang w:eastAsia="ko-KR"/>
            </w:rPr>
          </w:pPr>
          <w:hyperlink w:anchor="_Toc470944211" w:history="1">
            <w:r w:rsidR="0006023B" w:rsidRPr="00465382">
              <w:rPr>
                <w:rStyle w:val="a3"/>
                <w:noProof/>
              </w:rPr>
              <w:t>6.1.1</w:t>
            </w:r>
            <w:r w:rsidR="0006023B">
              <w:rPr>
                <w:rFonts w:eastAsiaTheme="minorEastAsia"/>
                <w:noProof/>
                <w:kern w:val="2"/>
                <w:sz w:val="20"/>
                <w:lang w:eastAsia="ko-KR"/>
              </w:rPr>
              <w:tab/>
            </w:r>
            <w:r w:rsidR="0006023B" w:rsidRPr="00465382">
              <w:rPr>
                <w:rStyle w:val="a3"/>
                <w:noProof/>
              </w:rPr>
              <w:t>Overview</w:t>
            </w:r>
            <w:r w:rsidR="0006023B">
              <w:rPr>
                <w:noProof/>
                <w:webHidden/>
              </w:rPr>
              <w:tab/>
            </w:r>
            <w:r w:rsidR="0006023B">
              <w:rPr>
                <w:noProof/>
                <w:webHidden/>
              </w:rPr>
              <w:fldChar w:fldCharType="begin"/>
            </w:r>
            <w:r w:rsidR="0006023B">
              <w:rPr>
                <w:noProof/>
                <w:webHidden/>
              </w:rPr>
              <w:instrText xml:space="preserve"> PAGEREF _Toc470944211 \h </w:instrText>
            </w:r>
            <w:r w:rsidR="0006023B">
              <w:rPr>
                <w:noProof/>
                <w:webHidden/>
              </w:rPr>
            </w:r>
            <w:r w:rsidR="0006023B">
              <w:rPr>
                <w:noProof/>
                <w:webHidden/>
              </w:rPr>
              <w:fldChar w:fldCharType="separate"/>
            </w:r>
            <w:r w:rsidR="0006023B">
              <w:rPr>
                <w:noProof/>
                <w:webHidden/>
              </w:rPr>
              <w:t>4</w:t>
            </w:r>
            <w:r w:rsidR="0006023B">
              <w:rPr>
                <w:noProof/>
                <w:webHidden/>
              </w:rPr>
              <w:fldChar w:fldCharType="end"/>
            </w:r>
          </w:hyperlink>
        </w:p>
        <w:p w14:paraId="2D27D4BE" w14:textId="31463EC2" w:rsidR="0006023B" w:rsidRDefault="00020DCB">
          <w:pPr>
            <w:pStyle w:val="30"/>
            <w:tabs>
              <w:tab w:val="left" w:pos="1200"/>
              <w:tab w:val="right" w:leader="dot" w:pos="9350"/>
            </w:tabs>
            <w:rPr>
              <w:rFonts w:eastAsiaTheme="minorEastAsia"/>
              <w:noProof/>
              <w:kern w:val="2"/>
              <w:sz w:val="20"/>
              <w:lang w:eastAsia="ko-KR"/>
            </w:rPr>
          </w:pPr>
          <w:hyperlink w:anchor="_Toc470944212" w:history="1">
            <w:r w:rsidR="0006023B" w:rsidRPr="00465382">
              <w:rPr>
                <w:rStyle w:val="a3"/>
                <w:noProof/>
              </w:rPr>
              <w:t>6.1.2</w:t>
            </w:r>
            <w:r w:rsidR="0006023B">
              <w:rPr>
                <w:rFonts w:eastAsiaTheme="minorEastAsia"/>
                <w:noProof/>
                <w:kern w:val="2"/>
                <w:sz w:val="20"/>
                <w:lang w:eastAsia="ko-KR"/>
              </w:rPr>
              <w:tab/>
            </w:r>
            <w:r w:rsidR="0006023B" w:rsidRPr="00465382">
              <w:rPr>
                <w:rStyle w:val="a3"/>
                <w:noProof/>
              </w:rPr>
              <w:t>Study population</w:t>
            </w:r>
            <w:r w:rsidR="0006023B">
              <w:rPr>
                <w:noProof/>
                <w:webHidden/>
              </w:rPr>
              <w:tab/>
            </w:r>
            <w:r w:rsidR="0006023B">
              <w:rPr>
                <w:noProof/>
                <w:webHidden/>
              </w:rPr>
              <w:fldChar w:fldCharType="begin"/>
            </w:r>
            <w:r w:rsidR="0006023B">
              <w:rPr>
                <w:noProof/>
                <w:webHidden/>
              </w:rPr>
              <w:instrText xml:space="preserve"> PAGEREF _Toc470944212 \h </w:instrText>
            </w:r>
            <w:r w:rsidR="0006023B">
              <w:rPr>
                <w:noProof/>
                <w:webHidden/>
              </w:rPr>
            </w:r>
            <w:r w:rsidR="0006023B">
              <w:rPr>
                <w:noProof/>
                <w:webHidden/>
              </w:rPr>
              <w:fldChar w:fldCharType="separate"/>
            </w:r>
            <w:r w:rsidR="0006023B">
              <w:rPr>
                <w:noProof/>
                <w:webHidden/>
              </w:rPr>
              <w:t>5</w:t>
            </w:r>
            <w:r w:rsidR="0006023B">
              <w:rPr>
                <w:noProof/>
                <w:webHidden/>
              </w:rPr>
              <w:fldChar w:fldCharType="end"/>
            </w:r>
          </w:hyperlink>
        </w:p>
        <w:p w14:paraId="6C194447" w14:textId="4169F8D4" w:rsidR="0006023B" w:rsidRDefault="00020DCB">
          <w:pPr>
            <w:pStyle w:val="30"/>
            <w:tabs>
              <w:tab w:val="left" w:pos="1200"/>
              <w:tab w:val="right" w:leader="dot" w:pos="9350"/>
            </w:tabs>
            <w:rPr>
              <w:rFonts w:eastAsiaTheme="minorEastAsia"/>
              <w:noProof/>
              <w:kern w:val="2"/>
              <w:sz w:val="20"/>
              <w:lang w:eastAsia="ko-KR"/>
            </w:rPr>
          </w:pPr>
          <w:hyperlink w:anchor="_Toc470944213" w:history="1">
            <w:r w:rsidR="0006023B" w:rsidRPr="00465382">
              <w:rPr>
                <w:rStyle w:val="a3"/>
                <w:noProof/>
              </w:rPr>
              <w:t>6.1.3</w:t>
            </w:r>
            <w:r w:rsidR="0006023B">
              <w:rPr>
                <w:rFonts w:eastAsiaTheme="minorEastAsia"/>
                <w:noProof/>
                <w:kern w:val="2"/>
                <w:sz w:val="20"/>
                <w:lang w:eastAsia="ko-KR"/>
              </w:rPr>
              <w:tab/>
            </w:r>
            <w:r w:rsidR="0006023B" w:rsidRPr="00465382">
              <w:rPr>
                <w:rStyle w:val="a3"/>
                <w:noProof/>
              </w:rPr>
              <w:t>Additional analysis details</w:t>
            </w:r>
            <w:r w:rsidR="0006023B">
              <w:rPr>
                <w:noProof/>
                <w:webHidden/>
              </w:rPr>
              <w:tab/>
            </w:r>
            <w:r w:rsidR="0006023B">
              <w:rPr>
                <w:noProof/>
                <w:webHidden/>
              </w:rPr>
              <w:fldChar w:fldCharType="begin"/>
            </w:r>
            <w:r w:rsidR="0006023B">
              <w:rPr>
                <w:noProof/>
                <w:webHidden/>
              </w:rPr>
              <w:instrText xml:space="preserve"> PAGEREF _Toc470944213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205D4E08" w14:textId="48CCBFF7" w:rsidR="0006023B" w:rsidRDefault="00020DCB">
          <w:pPr>
            <w:pStyle w:val="30"/>
            <w:tabs>
              <w:tab w:val="left" w:pos="1200"/>
              <w:tab w:val="right" w:leader="dot" w:pos="9350"/>
            </w:tabs>
            <w:rPr>
              <w:rFonts w:eastAsiaTheme="minorEastAsia"/>
              <w:noProof/>
              <w:kern w:val="2"/>
              <w:sz w:val="20"/>
              <w:lang w:eastAsia="ko-KR"/>
            </w:rPr>
          </w:pPr>
          <w:hyperlink w:anchor="_Toc470944214" w:history="1">
            <w:r w:rsidR="0006023B" w:rsidRPr="00465382">
              <w:rPr>
                <w:rStyle w:val="a3"/>
                <w:noProof/>
              </w:rPr>
              <w:t>6.1.4</w:t>
            </w:r>
            <w:r w:rsidR="0006023B">
              <w:rPr>
                <w:rFonts w:eastAsiaTheme="minorEastAsia"/>
                <w:noProof/>
                <w:kern w:val="2"/>
                <w:sz w:val="20"/>
                <w:lang w:eastAsia="ko-KR"/>
              </w:rPr>
              <w:tab/>
            </w:r>
            <w:r w:rsidR="0006023B" w:rsidRPr="00465382">
              <w:rPr>
                <w:rStyle w:val="a3"/>
                <w:noProof/>
              </w:rPr>
              <w:t>Analysis variations</w:t>
            </w:r>
            <w:r w:rsidR="0006023B">
              <w:rPr>
                <w:noProof/>
                <w:webHidden/>
              </w:rPr>
              <w:tab/>
            </w:r>
            <w:r w:rsidR="0006023B">
              <w:rPr>
                <w:noProof/>
                <w:webHidden/>
              </w:rPr>
              <w:fldChar w:fldCharType="begin"/>
            </w:r>
            <w:r w:rsidR="0006023B">
              <w:rPr>
                <w:noProof/>
                <w:webHidden/>
              </w:rPr>
              <w:instrText xml:space="preserve"> PAGEREF _Toc470944214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368754A9" w14:textId="112F4E8B" w:rsidR="0006023B" w:rsidRDefault="00020DCB">
          <w:pPr>
            <w:pStyle w:val="20"/>
            <w:tabs>
              <w:tab w:val="left" w:pos="800"/>
              <w:tab w:val="right" w:leader="dot" w:pos="9350"/>
            </w:tabs>
            <w:rPr>
              <w:rFonts w:eastAsiaTheme="minorEastAsia"/>
              <w:noProof/>
              <w:kern w:val="2"/>
              <w:sz w:val="20"/>
              <w:lang w:eastAsia="ko-KR"/>
            </w:rPr>
          </w:pPr>
          <w:hyperlink w:anchor="_Toc470944215" w:history="1">
            <w:r w:rsidR="0006023B" w:rsidRPr="00465382">
              <w:rPr>
                <w:rStyle w:val="a3"/>
                <w:noProof/>
              </w:rPr>
              <w:t>6.2</w:t>
            </w:r>
            <w:r w:rsidR="0006023B">
              <w:rPr>
                <w:rFonts w:eastAsiaTheme="minorEastAsia"/>
                <w:noProof/>
                <w:kern w:val="2"/>
                <w:sz w:val="20"/>
                <w:lang w:eastAsia="ko-KR"/>
              </w:rPr>
              <w:tab/>
            </w:r>
            <w:r w:rsidR="0006023B" w:rsidRPr="00465382">
              <w:rPr>
                <w:rStyle w:val="a3"/>
                <w:noProof/>
              </w:rPr>
              <w:t>Variables</w:t>
            </w:r>
            <w:r w:rsidR="0006023B">
              <w:rPr>
                <w:noProof/>
                <w:webHidden/>
              </w:rPr>
              <w:tab/>
            </w:r>
            <w:r w:rsidR="0006023B">
              <w:rPr>
                <w:noProof/>
                <w:webHidden/>
              </w:rPr>
              <w:fldChar w:fldCharType="begin"/>
            </w:r>
            <w:r w:rsidR="0006023B">
              <w:rPr>
                <w:noProof/>
                <w:webHidden/>
              </w:rPr>
              <w:instrText xml:space="preserve"> PAGEREF _Toc470944215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0C7A360" w14:textId="7F16AA81" w:rsidR="0006023B" w:rsidRDefault="00020DCB">
          <w:pPr>
            <w:pStyle w:val="30"/>
            <w:tabs>
              <w:tab w:val="left" w:pos="1200"/>
              <w:tab w:val="right" w:leader="dot" w:pos="9350"/>
            </w:tabs>
            <w:rPr>
              <w:rFonts w:eastAsiaTheme="minorEastAsia"/>
              <w:noProof/>
              <w:kern w:val="2"/>
              <w:sz w:val="20"/>
              <w:lang w:eastAsia="ko-KR"/>
            </w:rPr>
          </w:pPr>
          <w:hyperlink w:anchor="_Toc470944216" w:history="1">
            <w:r w:rsidR="0006023B" w:rsidRPr="00465382">
              <w:rPr>
                <w:rStyle w:val="a3"/>
                <w:noProof/>
              </w:rPr>
              <w:t>6.2.1</w:t>
            </w:r>
            <w:r w:rsidR="0006023B">
              <w:rPr>
                <w:rFonts w:eastAsiaTheme="minorEastAsia"/>
                <w:noProof/>
                <w:kern w:val="2"/>
                <w:sz w:val="20"/>
                <w:lang w:eastAsia="ko-KR"/>
              </w:rPr>
              <w:tab/>
            </w:r>
            <w:r w:rsidR="0006023B" w:rsidRPr="00465382">
              <w:rPr>
                <w:rStyle w:val="a3"/>
                <w:noProof/>
              </w:rPr>
              <w:t>Exposures</w:t>
            </w:r>
            <w:r w:rsidR="0006023B">
              <w:rPr>
                <w:noProof/>
                <w:webHidden/>
              </w:rPr>
              <w:tab/>
            </w:r>
            <w:r w:rsidR="0006023B">
              <w:rPr>
                <w:noProof/>
                <w:webHidden/>
              </w:rPr>
              <w:fldChar w:fldCharType="begin"/>
            </w:r>
            <w:r w:rsidR="0006023B">
              <w:rPr>
                <w:noProof/>
                <w:webHidden/>
              </w:rPr>
              <w:instrText xml:space="preserve"> PAGEREF _Toc470944216 \h </w:instrText>
            </w:r>
            <w:r w:rsidR="0006023B">
              <w:rPr>
                <w:noProof/>
                <w:webHidden/>
              </w:rPr>
            </w:r>
            <w:r w:rsidR="0006023B">
              <w:rPr>
                <w:noProof/>
                <w:webHidden/>
              </w:rPr>
              <w:fldChar w:fldCharType="separate"/>
            </w:r>
            <w:r w:rsidR="0006023B">
              <w:rPr>
                <w:noProof/>
                <w:webHidden/>
              </w:rPr>
              <w:t>6</w:t>
            </w:r>
            <w:r w:rsidR="0006023B">
              <w:rPr>
                <w:noProof/>
                <w:webHidden/>
              </w:rPr>
              <w:fldChar w:fldCharType="end"/>
            </w:r>
          </w:hyperlink>
        </w:p>
        <w:p w14:paraId="05D35466" w14:textId="0FCAB934" w:rsidR="0006023B" w:rsidRDefault="00020DCB">
          <w:pPr>
            <w:pStyle w:val="30"/>
            <w:tabs>
              <w:tab w:val="left" w:pos="1200"/>
              <w:tab w:val="right" w:leader="dot" w:pos="9350"/>
            </w:tabs>
            <w:rPr>
              <w:rFonts w:eastAsiaTheme="minorEastAsia"/>
              <w:noProof/>
              <w:kern w:val="2"/>
              <w:sz w:val="20"/>
              <w:lang w:eastAsia="ko-KR"/>
            </w:rPr>
          </w:pPr>
          <w:hyperlink w:anchor="_Toc470944217" w:history="1">
            <w:r w:rsidR="0006023B" w:rsidRPr="00465382">
              <w:rPr>
                <w:rStyle w:val="a3"/>
                <w:noProof/>
              </w:rPr>
              <w:t>6.2.2</w:t>
            </w:r>
            <w:r w:rsidR="0006023B">
              <w:rPr>
                <w:rFonts w:eastAsiaTheme="minorEastAsia"/>
                <w:noProof/>
                <w:kern w:val="2"/>
                <w:sz w:val="20"/>
                <w:lang w:eastAsia="ko-KR"/>
              </w:rPr>
              <w:tab/>
            </w:r>
            <w:r w:rsidR="0006023B" w:rsidRPr="00465382">
              <w:rPr>
                <w:rStyle w:val="a3"/>
                <w:noProof/>
              </w:rPr>
              <w:t>Outcomes</w:t>
            </w:r>
            <w:r w:rsidR="0006023B">
              <w:rPr>
                <w:noProof/>
                <w:webHidden/>
              </w:rPr>
              <w:tab/>
            </w:r>
            <w:r w:rsidR="0006023B">
              <w:rPr>
                <w:noProof/>
                <w:webHidden/>
              </w:rPr>
              <w:fldChar w:fldCharType="begin"/>
            </w:r>
            <w:r w:rsidR="0006023B">
              <w:rPr>
                <w:noProof/>
                <w:webHidden/>
              </w:rPr>
              <w:instrText xml:space="preserve"> PAGEREF _Toc470944217 \h </w:instrText>
            </w:r>
            <w:r w:rsidR="0006023B">
              <w:rPr>
                <w:noProof/>
                <w:webHidden/>
              </w:rPr>
            </w:r>
            <w:r w:rsidR="0006023B">
              <w:rPr>
                <w:noProof/>
                <w:webHidden/>
              </w:rPr>
              <w:fldChar w:fldCharType="separate"/>
            </w:r>
            <w:r w:rsidR="0006023B">
              <w:rPr>
                <w:noProof/>
                <w:webHidden/>
              </w:rPr>
              <w:t>7</w:t>
            </w:r>
            <w:r w:rsidR="0006023B">
              <w:rPr>
                <w:noProof/>
                <w:webHidden/>
              </w:rPr>
              <w:fldChar w:fldCharType="end"/>
            </w:r>
          </w:hyperlink>
        </w:p>
        <w:p w14:paraId="17597B37" w14:textId="1C042F22" w:rsidR="0006023B" w:rsidRDefault="00020DCB">
          <w:pPr>
            <w:pStyle w:val="30"/>
            <w:tabs>
              <w:tab w:val="left" w:pos="1200"/>
              <w:tab w:val="right" w:leader="dot" w:pos="9350"/>
            </w:tabs>
            <w:rPr>
              <w:rFonts w:eastAsiaTheme="minorEastAsia"/>
              <w:noProof/>
              <w:kern w:val="2"/>
              <w:sz w:val="20"/>
              <w:lang w:eastAsia="ko-KR"/>
            </w:rPr>
          </w:pPr>
          <w:hyperlink w:anchor="_Toc470944218" w:history="1">
            <w:r w:rsidR="0006023B" w:rsidRPr="00465382">
              <w:rPr>
                <w:rStyle w:val="a3"/>
                <w:noProof/>
              </w:rPr>
              <w:t>6.2.3</w:t>
            </w:r>
            <w:r w:rsidR="0006023B">
              <w:rPr>
                <w:rFonts w:eastAsiaTheme="minorEastAsia"/>
                <w:noProof/>
                <w:kern w:val="2"/>
                <w:sz w:val="20"/>
                <w:lang w:eastAsia="ko-KR"/>
              </w:rPr>
              <w:tab/>
            </w:r>
            <w:r w:rsidR="0006023B" w:rsidRPr="00465382">
              <w:rPr>
                <w:rStyle w:val="a3"/>
                <w:noProof/>
              </w:rPr>
              <w:t>Potential confounders</w:t>
            </w:r>
            <w:r w:rsidR="0006023B">
              <w:rPr>
                <w:noProof/>
                <w:webHidden/>
              </w:rPr>
              <w:tab/>
            </w:r>
            <w:r w:rsidR="0006023B">
              <w:rPr>
                <w:noProof/>
                <w:webHidden/>
              </w:rPr>
              <w:fldChar w:fldCharType="begin"/>
            </w:r>
            <w:r w:rsidR="0006023B">
              <w:rPr>
                <w:noProof/>
                <w:webHidden/>
              </w:rPr>
              <w:instrText xml:space="preserve"> PAGEREF _Toc470944218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5ED8A7C1" w14:textId="042FC319" w:rsidR="0006023B" w:rsidRDefault="00020DCB">
          <w:pPr>
            <w:pStyle w:val="30"/>
            <w:tabs>
              <w:tab w:val="left" w:pos="1200"/>
              <w:tab w:val="right" w:leader="dot" w:pos="9350"/>
            </w:tabs>
            <w:rPr>
              <w:rFonts w:eastAsiaTheme="minorEastAsia"/>
              <w:noProof/>
              <w:kern w:val="2"/>
              <w:sz w:val="20"/>
              <w:lang w:eastAsia="ko-KR"/>
            </w:rPr>
          </w:pPr>
          <w:hyperlink w:anchor="_Toc470944219" w:history="1">
            <w:r w:rsidR="0006023B" w:rsidRPr="00465382">
              <w:rPr>
                <w:rStyle w:val="a3"/>
                <w:noProof/>
              </w:rPr>
              <w:t>6.2.4</w:t>
            </w:r>
            <w:r w:rsidR="0006023B">
              <w:rPr>
                <w:rFonts w:eastAsiaTheme="minorEastAsia"/>
                <w:noProof/>
                <w:kern w:val="2"/>
                <w:sz w:val="20"/>
                <w:lang w:eastAsia="ko-KR"/>
              </w:rPr>
              <w:tab/>
            </w:r>
            <w:r w:rsidR="0006023B" w:rsidRPr="00465382">
              <w:rPr>
                <w:rStyle w:val="a3"/>
                <w:noProof/>
              </w:rPr>
              <w:t>Negative controls</w:t>
            </w:r>
            <w:r w:rsidR="0006023B">
              <w:rPr>
                <w:noProof/>
                <w:webHidden/>
              </w:rPr>
              <w:tab/>
            </w:r>
            <w:r w:rsidR="0006023B">
              <w:rPr>
                <w:noProof/>
                <w:webHidden/>
              </w:rPr>
              <w:fldChar w:fldCharType="begin"/>
            </w:r>
            <w:r w:rsidR="0006023B">
              <w:rPr>
                <w:noProof/>
                <w:webHidden/>
              </w:rPr>
              <w:instrText xml:space="preserve"> PAGEREF _Toc470944219 \h </w:instrText>
            </w:r>
            <w:r w:rsidR="0006023B">
              <w:rPr>
                <w:noProof/>
                <w:webHidden/>
              </w:rPr>
            </w:r>
            <w:r w:rsidR="0006023B">
              <w:rPr>
                <w:noProof/>
                <w:webHidden/>
              </w:rPr>
              <w:fldChar w:fldCharType="separate"/>
            </w:r>
            <w:r w:rsidR="0006023B">
              <w:rPr>
                <w:noProof/>
                <w:webHidden/>
              </w:rPr>
              <w:t>9</w:t>
            </w:r>
            <w:r w:rsidR="0006023B">
              <w:rPr>
                <w:noProof/>
                <w:webHidden/>
              </w:rPr>
              <w:fldChar w:fldCharType="end"/>
            </w:r>
          </w:hyperlink>
        </w:p>
        <w:p w14:paraId="38A88F94" w14:textId="311E4A68" w:rsidR="0006023B" w:rsidRDefault="00020DCB">
          <w:pPr>
            <w:pStyle w:val="30"/>
            <w:tabs>
              <w:tab w:val="left" w:pos="1200"/>
              <w:tab w:val="right" w:leader="dot" w:pos="9350"/>
            </w:tabs>
            <w:rPr>
              <w:rFonts w:eastAsiaTheme="minorEastAsia"/>
              <w:noProof/>
              <w:kern w:val="2"/>
              <w:sz w:val="20"/>
              <w:lang w:eastAsia="ko-KR"/>
            </w:rPr>
          </w:pPr>
          <w:hyperlink w:anchor="_Toc470944220" w:history="1">
            <w:r w:rsidR="0006023B" w:rsidRPr="00465382">
              <w:rPr>
                <w:rStyle w:val="a3"/>
                <w:noProof/>
              </w:rPr>
              <w:t>6.2.5</w:t>
            </w:r>
            <w:r w:rsidR="0006023B">
              <w:rPr>
                <w:rFonts w:eastAsiaTheme="minorEastAsia"/>
                <w:noProof/>
                <w:kern w:val="2"/>
                <w:sz w:val="20"/>
                <w:lang w:eastAsia="ko-KR"/>
              </w:rPr>
              <w:tab/>
            </w:r>
            <w:r w:rsidR="0006023B" w:rsidRPr="00465382">
              <w:rPr>
                <w:rStyle w:val="a3"/>
                <w:noProof/>
              </w:rPr>
              <w:t>Other variables</w:t>
            </w:r>
            <w:r w:rsidR="0006023B">
              <w:rPr>
                <w:noProof/>
                <w:webHidden/>
              </w:rPr>
              <w:tab/>
            </w:r>
            <w:r w:rsidR="0006023B">
              <w:rPr>
                <w:noProof/>
                <w:webHidden/>
              </w:rPr>
              <w:fldChar w:fldCharType="begin"/>
            </w:r>
            <w:r w:rsidR="0006023B">
              <w:rPr>
                <w:noProof/>
                <w:webHidden/>
              </w:rPr>
              <w:instrText xml:space="preserve"> PAGEREF _Toc470944220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35990578" w14:textId="3226C554" w:rsidR="0006023B" w:rsidRDefault="00020DCB">
          <w:pPr>
            <w:pStyle w:val="20"/>
            <w:tabs>
              <w:tab w:val="left" w:pos="800"/>
              <w:tab w:val="right" w:leader="dot" w:pos="9350"/>
            </w:tabs>
            <w:rPr>
              <w:rFonts w:eastAsiaTheme="minorEastAsia"/>
              <w:noProof/>
              <w:kern w:val="2"/>
              <w:sz w:val="20"/>
              <w:lang w:eastAsia="ko-KR"/>
            </w:rPr>
          </w:pPr>
          <w:hyperlink w:anchor="_Toc470944221" w:history="1">
            <w:r w:rsidR="0006023B" w:rsidRPr="00465382">
              <w:rPr>
                <w:rStyle w:val="a3"/>
                <w:noProof/>
              </w:rPr>
              <w:t>6.3</w:t>
            </w:r>
            <w:r w:rsidR="0006023B">
              <w:rPr>
                <w:rFonts w:eastAsiaTheme="minorEastAsia"/>
                <w:noProof/>
                <w:kern w:val="2"/>
                <w:sz w:val="20"/>
                <w:lang w:eastAsia="ko-KR"/>
              </w:rPr>
              <w:tab/>
            </w:r>
            <w:r w:rsidR="0006023B" w:rsidRPr="00465382">
              <w:rPr>
                <w:rStyle w:val="a3"/>
                <w:noProof/>
              </w:rPr>
              <w:t>Data Sources</w:t>
            </w:r>
            <w:r w:rsidR="0006023B">
              <w:rPr>
                <w:noProof/>
                <w:webHidden/>
              </w:rPr>
              <w:tab/>
            </w:r>
            <w:r w:rsidR="0006023B">
              <w:rPr>
                <w:noProof/>
                <w:webHidden/>
              </w:rPr>
              <w:fldChar w:fldCharType="begin"/>
            </w:r>
            <w:r w:rsidR="0006023B">
              <w:rPr>
                <w:noProof/>
                <w:webHidden/>
              </w:rPr>
              <w:instrText xml:space="preserve"> PAGEREF _Toc470944221 \h </w:instrText>
            </w:r>
            <w:r w:rsidR="0006023B">
              <w:rPr>
                <w:noProof/>
                <w:webHidden/>
              </w:rPr>
            </w:r>
            <w:r w:rsidR="0006023B">
              <w:rPr>
                <w:noProof/>
                <w:webHidden/>
              </w:rPr>
              <w:fldChar w:fldCharType="separate"/>
            </w:r>
            <w:r w:rsidR="0006023B">
              <w:rPr>
                <w:noProof/>
                <w:webHidden/>
              </w:rPr>
              <w:t>11</w:t>
            </w:r>
            <w:r w:rsidR="0006023B">
              <w:rPr>
                <w:noProof/>
                <w:webHidden/>
              </w:rPr>
              <w:fldChar w:fldCharType="end"/>
            </w:r>
          </w:hyperlink>
        </w:p>
        <w:p w14:paraId="4A73AB3A" w14:textId="72C5F125" w:rsidR="0006023B" w:rsidRDefault="00020DCB">
          <w:pPr>
            <w:pStyle w:val="20"/>
            <w:tabs>
              <w:tab w:val="left" w:pos="800"/>
              <w:tab w:val="right" w:leader="dot" w:pos="9350"/>
            </w:tabs>
            <w:rPr>
              <w:rFonts w:eastAsiaTheme="minorEastAsia"/>
              <w:noProof/>
              <w:kern w:val="2"/>
              <w:sz w:val="20"/>
              <w:lang w:eastAsia="ko-KR"/>
            </w:rPr>
          </w:pPr>
          <w:hyperlink w:anchor="_Toc470944222" w:history="1">
            <w:r w:rsidR="0006023B" w:rsidRPr="00465382">
              <w:rPr>
                <w:rStyle w:val="a3"/>
                <w:noProof/>
              </w:rPr>
              <w:t>6.4</w:t>
            </w:r>
            <w:r w:rsidR="0006023B">
              <w:rPr>
                <w:rFonts w:eastAsiaTheme="minorEastAsia"/>
                <w:noProof/>
                <w:kern w:val="2"/>
                <w:sz w:val="20"/>
                <w:lang w:eastAsia="ko-KR"/>
              </w:rPr>
              <w:tab/>
            </w:r>
            <w:r w:rsidR="0006023B" w:rsidRPr="00465382">
              <w:rPr>
                <w:rStyle w:val="a3"/>
                <w:noProof/>
              </w:rPr>
              <w:t>Sample Size and Study Power</w:t>
            </w:r>
            <w:r w:rsidR="0006023B">
              <w:rPr>
                <w:noProof/>
                <w:webHidden/>
              </w:rPr>
              <w:tab/>
            </w:r>
            <w:r w:rsidR="0006023B">
              <w:rPr>
                <w:noProof/>
                <w:webHidden/>
              </w:rPr>
              <w:fldChar w:fldCharType="begin"/>
            </w:r>
            <w:r w:rsidR="0006023B">
              <w:rPr>
                <w:noProof/>
                <w:webHidden/>
              </w:rPr>
              <w:instrText xml:space="preserve"> PAGEREF _Toc470944222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527CB9B8" w14:textId="2C5C1907" w:rsidR="0006023B" w:rsidRDefault="00020DCB">
          <w:pPr>
            <w:pStyle w:val="20"/>
            <w:tabs>
              <w:tab w:val="left" w:pos="800"/>
              <w:tab w:val="right" w:leader="dot" w:pos="9350"/>
            </w:tabs>
            <w:rPr>
              <w:rFonts w:eastAsiaTheme="minorEastAsia"/>
              <w:noProof/>
              <w:kern w:val="2"/>
              <w:sz w:val="20"/>
              <w:lang w:eastAsia="ko-KR"/>
            </w:rPr>
          </w:pPr>
          <w:hyperlink w:anchor="_Toc470944223" w:history="1">
            <w:r w:rsidR="0006023B" w:rsidRPr="00465382">
              <w:rPr>
                <w:rStyle w:val="a3"/>
                <w:noProof/>
              </w:rPr>
              <w:t>6.5</w:t>
            </w:r>
            <w:r w:rsidR="0006023B">
              <w:rPr>
                <w:rFonts w:eastAsiaTheme="minorEastAsia"/>
                <w:noProof/>
                <w:kern w:val="2"/>
                <w:sz w:val="20"/>
                <w:lang w:eastAsia="ko-KR"/>
              </w:rPr>
              <w:tab/>
            </w:r>
            <w:r w:rsidR="0006023B" w:rsidRPr="00465382">
              <w:rPr>
                <w:rStyle w:val="a3"/>
                <w:noProof/>
              </w:rPr>
              <w:t>Quality control</w:t>
            </w:r>
            <w:r w:rsidR="0006023B">
              <w:rPr>
                <w:noProof/>
                <w:webHidden/>
              </w:rPr>
              <w:tab/>
            </w:r>
            <w:r w:rsidR="0006023B">
              <w:rPr>
                <w:noProof/>
                <w:webHidden/>
              </w:rPr>
              <w:fldChar w:fldCharType="begin"/>
            </w:r>
            <w:r w:rsidR="0006023B">
              <w:rPr>
                <w:noProof/>
                <w:webHidden/>
              </w:rPr>
              <w:instrText xml:space="preserve"> PAGEREF _Toc470944223 \h </w:instrText>
            </w:r>
            <w:r w:rsidR="0006023B">
              <w:rPr>
                <w:noProof/>
                <w:webHidden/>
              </w:rPr>
            </w:r>
            <w:r w:rsidR="0006023B">
              <w:rPr>
                <w:noProof/>
                <w:webHidden/>
              </w:rPr>
              <w:fldChar w:fldCharType="separate"/>
            </w:r>
            <w:r w:rsidR="0006023B">
              <w:rPr>
                <w:noProof/>
                <w:webHidden/>
              </w:rPr>
              <w:t>13</w:t>
            </w:r>
            <w:r w:rsidR="0006023B">
              <w:rPr>
                <w:noProof/>
                <w:webHidden/>
              </w:rPr>
              <w:fldChar w:fldCharType="end"/>
            </w:r>
          </w:hyperlink>
        </w:p>
        <w:p w14:paraId="15EDA608" w14:textId="40FF68AA" w:rsidR="0006023B" w:rsidRDefault="00020DCB">
          <w:pPr>
            <w:pStyle w:val="20"/>
            <w:tabs>
              <w:tab w:val="left" w:pos="800"/>
              <w:tab w:val="right" w:leader="dot" w:pos="9350"/>
            </w:tabs>
            <w:rPr>
              <w:rFonts w:eastAsiaTheme="minorEastAsia"/>
              <w:noProof/>
              <w:kern w:val="2"/>
              <w:sz w:val="20"/>
              <w:lang w:eastAsia="ko-KR"/>
            </w:rPr>
          </w:pPr>
          <w:hyperlink w:anchor="_Toc470944224" w:history="1">
            <w:r w:rsidR="0006023B" w:rsidRPr="00465382">
              <w:rPr>
                <w:rStyle w:val="a3"/>
                <w:noProof/>
              </w:rPr>
              <w:t>6.6</w:t>
            </w:r>
            <w:r w:rsidR="0006023B">
              <w:rPr>
                <w:rFonts w:eastAsiaTheme="minorEastAsia"/>
                <w:noProof/>
                <w:kern w:val="2"/>
                <w:sz w:val="20"/>
                <w:lang w:eastAsia="ko-KR"/>
              </w:rPr>
              <w:tab/>
            </w:r>
            <w:r w:rsidR="0006023B" w:rsidRPr="00465382">
              <w:rPr>
                <w:rStyle w:val="a3"/>
                <w:noProof/>
              </w:rPr>
              <w:t>Strengths and Limitations of the Research Methods</w:t>
            </w:r>
            <w:r w:rsidR="0006023B">
              <w:rPr>
                <w:noProof/>
                <w:webHidden/>
              </w:rPr>
              <w:tab/>
            </w:r>
            <w:r w:rsidR="0006023B">
              <w:rPr>
                <w:noProof/>
                <w:webHidden/>
              </w:rPr>
              <w:fldChar w:fldCharType="begin"/>
            </w:r>
            <w:r w:rsidR="0006023B">
              <w:rPr>
                <w:noProof/>
                <w:webHidden/>
              </w:rPr>
              <w:instrText xml:space="preserve"> PAGEREF _Toc470944224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590740BE" w14:textId="3A439A35" w:rsidR="0006023B" w:rsidRDefault="00020DCB">
          <w:pPr>
            <w:pStyle w:val="10"/>
            <w:tabs>
              <w:tab w:val="left" w:pos="440"/>
              <w:tab w:val="right" w:leader="dot" w:pos="9350"/>
            </w:tabs>
            <w:rPr>
              <w:rFonts w:eastAsiaTheme="minorEastAsia"/>
              <w:noProof/>
              <w:kern w:val="2"/>
              <w:sz w:val="20"/>
              <w:lang w:eastAsia="ko-KR"/>
            </w:rPr>
          </w:pPr>
          <w:hyperlink w:anchor="_Toc470944225" w:history="1">
            <w:r w:rsidR="0006023B" w:rsidRPr="00465382">
              <w:rPr>
                <w:rStyle w:val="a3"/>
                <w:noProof/>
              </w:rPr>
              <w:t>7</w:t>
            </w:r>
            <w:r w:rsidR="0006023B">
              <w:rPr>
                <w:rFonts w:eastAsiaTheme="minorEastAsia"/>
                <w:noProof/>
                <w:kern w:val="2"/>
                <w:sz w:val="20"/>
                <w:lang w:eastAsia="ko-KR"/>
              </w:rPr>
              <w:tab/>
            </w:r>
            <w:r w:rsidR="0006023B" w:rsidRPr="00465382">
              <w:rPr>
                <w:rStyle w:val="a3"/>
                <w:noProof/>
              </w:rPr>
              <w:t>Protection of Human Subjects</w:t>
            </w:r>
            <w:r w:rsidR="0006023B">
              <w:rPr>
                <w:noProof/>
                <w:webHidden/>
              </w:rPr>
              <w:tab/>
            </w:r>
            <w:r w:rsidR="0006023B">
              <w:rPr>
                <w:noProof/>
                <w:webHidden/>
              </w:rPr>
              <w:fldChar w:fldCharType="begin"/>
            </w:r>
            <w:r w:rsidR="0006023B">
              <w:rPr>
                <w:noProof/>
                <w:webHidden/>
              </w:rPr>
              <w:instrText xml:space="preserve"> PAGEREF _Toc470944225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064BAFF0" w14:textId="4C192A2D" w:rsidR="0006023B" w:rsidRDefault="00020DCB">
          <w:pPr>
            <w:pStyle w:val="10"/>
            <w:tabs>
              <w:tab w:val="left" w:pos="440"/>
              <w:tab w:val="right" w:leader="dot" w:pos="9350"/>
            </w:tabs>
            <w:rPr>
              <w:rFonts w:eastAsiaTheme="minorEastAsia"/>
              <w:noProof/>
              <w:kern w:val="2"/>
              <w:sz w:val="20"/>
              <w:lang w:eastAsia="ko-KR"/>
            </w:rPr>
          </w:pPr>
          <w:hyperlink w:anchor="_Toc470944226" w:history="1">
            <w:r w:rsidR="0006023B" w:rsidRPr="00465382">
              <w:rPr>
                <w:rStyle w:val="a3"/>
                <w:noProof/>
              </w:rPr>
              <w:t>8</w:t>
            </w:r>
            <w:r w:rsidR="0006023B">
              <w:rPr>
                <w:rFonts w:eastAsiaTheme="minorEastAsia"/>
                <w:noProof/>
                <w:kern w:val="2"/>
                <w:sz w:val="20"/>
                <w:lang w:eastAsia="ko-KR"/>
              </w:rPr>
              <w:tab/>
            </w:r>
            <w:r w:rsidR="0006023B" w:rsidRPr="00465382">
              <w:rPr>
                <w:rStyle w:val="a3"/>
                <w:noProof/>
              </w:rPr>
              <w:t>Plans for Disseminating and Communicating Study Results</w:t>
            </w:r>
            <w:r w:rsidR="0006023B">
              <w:rPr>
                <w:noProof/>
                <w:webHidden/>
              </w:rPr>
              <w:tab/>
            </w:r>
            <w:r w:rsidR="0006023B">
              <w:rPr>
                <w:noProof/>
                <w:webHidden/>
              </w:rPr>
              <w:fldChar w:fldCharType="begin"/>
            </w:r>
            <w:r w:rsidR="0006023B">
              <w:rPr>
                <w:noProof/>
                <w:webHidden/>
              </w:rPr>
              <w:instrText xml:space="preserve"> PAGEREF _Toc470944226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20A947C8" w14:textId="3A0FA8E4" w:rsidR="0006023B" w:rsidRDefault="00020DCB">
          <w:pPr>
            <w:pStyle w:val="10"/>
            <w:tabs>
              <w:tab w:val="left" w:pos="440"/>
              <w:tab w:val="right" w:leader="dot" w:pos="9350"/>
            </w:tabs>
            <w:rPr>
              <w:rFonts w:eastAsiaTheme="minorEastAsia"/>
              <w:noProof/>
              <w:kern w:val="2"/>
              <w:sz w:val="20"/>
              <w:lang w:eastAsia="ko-KR"/>
            </w:rPr>
          </w:pPr>
          <w:hyperlink w:anchor="_Toc470944227" w:history="1">
            <w:r w:rsidR="0006023B" w:rsidRPr="00465382">
              <w:rPr>
                <w:rStyle w:val="a3"/>
                <w:noProof/>
              </w:rPr>
              <w:t>9</w:t>
            </w:r>
            <w:r w:rsidR="0006023B">
              <w:rPr>
                <w:rFonts w:eastAsiaTheme="minorEastAsia"/>
                <w:noProof/>
                <w:kern w:val="2"/>
                <w:sz w:val="20"/>
                <w:lang w:eastAsia="ko-KR"/>
              </w:rPr>
              <w:tab/>
            </w:r>
            <w:r w:rsidR="0006023B" w:rsidRPr="00465382">
              <w:rPr>
                <w:rStyle w:val="a3"/>
                <w:noProof/>
              </w:rPr>
              <w:t>References</w:t>
            </w:r>
            <w:r w:rsidR="0006023B">
              <w:rPr>
                <w:noProof/>
                <w:webHidden/>
              </w:rPr>
              <w:tab/>
            </w:r>
            <w:r w:rsidR="0006023B">
              <w:rPr>
                <w:noProof/>
                <w:webHidden/>
              </w:rPr>
              <w:fldChar w:fldCharType="begin"/>
            </w:r>
            <w:r w:rsidR="0006023B">
              <w:rPr>
                <w:noProof/>
                <w:webHidden/>
              </w:rPr>
              <w:instrText xml:space="preserve"> PAGEREF _Toc470944227 \h </w:instrText>
            </w:r>
            <w:r w:rsidR="0006023B">
              <w:rPr>
                <w:noProof/>
                <w:webHidden/>
              </w:rPr>
            </w:r>
            <w:r w:rsidR="0006023B">
              <w:rPr>
                <w:noProof/>
                <w:webHidden/>
              </w:rPr>
              <w:fldChar w:fldCharType="separate"/>
            </w:r>
            <w:r w:rsidR="0006023B">
              <w:rPr>
                <w:noProof/>
                <w:webHidden/>
              </w:rPr>
              <w:t>14</w:t>
            </w:r>
            <w:r w:rsidR="0006023B">
              <w:rPr>
                <w:noProof/>
                <w:webHidden/>
              </w:rPr>
              <w:fldChar w:fldCharType="end"/>
            </w:r>
          </w:hyperlink>
        </w:p>
        <w:p w14:paraId="18F70191" w14:textId="6211D6A0" w:rsidR="000F0CE6" w:rsidRDefault="000F0CE6">
          <w:r>
            <w:rPr>
              <w:b/>
              <w:bCs/>
              <w:noProof/>
            </w:rPr>
            <w:fldChar w:fldCharType="end"/>
          </w:r>
        </w:p>
      </w:sdtContent>
    </w:sdt>
    <w:p w14:paraId="5703D44B" w14:textId="77777777" w:rsidR="000159BB" w:rsidRDefault="00AE518E" w:rsidP="000159BB">
      <w:pPr>
        <w:pStyle w:val="1"/>
      </w:pPr>
      <w:bookmarkStart w:id="0" w:name="_Toc470944203"/>
      <w:bookmarkStart w:id="1" w:name="_Toc405127685"/>
      <w:r>
        <w:t>List of abbreviations</w:t>
      </w:r>
      <w:bookmarkEnd w:id="0"/>
    </w:p>
    <w:p w14:paraId="48F41910" w14:textId="1362B780" w:rsidR="00E511A6" w:rsidRDefault="007F34FD" w:rsidP="00E61242">
      <w:pPr>
        <w:pStyle w:val="ab"/>
      </w:pPr>
      <w:r>
        <w:t>RCT</w:t>
      </w:r>
      <w:r w:rsidR="00E511A6">
        <w:tab/>
      </w:r>
      <w:r w:rsidR="00E511A6">
        <w:tab/>
      </w:r>
      <w:r>
        <w:t xml:space="preserve">Randomized </w:t>
      </w:r>
      <w:r w:rsidR="004227AE">
        <w:t>C</w:t>
      </w:r>
      <w:r>
        <w:t xml:space="preserve">linical </w:t>
      </w:r>
      <w:r w:rsidR="004227AE">
        <w:t>T</w:t>
      </w:r>
      <w:r>
        <w:t>rial</w:t>
      </w:r>
    </w:p>
    <w:p w14:paraId="57725028" w14:textId="3DE3F11A" w:rsidR="00E61242" w:rsidRDefault="007F34FD" w:rsidP="00E61242">
      <w:pPr>
        <w:pStyle w:val="ab"/>
      </w:pPr>
      <w:r>
        <w:rPr>
          <w:lang w:eastAsia="ko-KR"/>
        </w:rPr>
        <w:t>RAAS</w:t>
      </w:r>
      <w:r>
        <w:rPr>
          <w:lang w:eastAsia="ko-KR"/>
        </w:rPr>
        <w:t xml:space="preserve"> </w:t>
      </w:r>
      <w:r>
        <w:rPr>
          <w:lang w:eastAsia="ko-KR"/>
        </w:rPr>
        <w:tab/>
      </w:r>
      <w:r w:rsidR="00E61242">
        <w:tab/>
      </w:r>
      <w:r>
        <w:t>Renin-</w:t>
      </w:r>
      <w:r w:rsidR="004227AE">
        <w:t>A</w:t>
      </w:r>
      <w:r>
        <w:t>ngiotensin-</w:t>
      </w:r>
      <w:r w:rsidR="004227AE">
        <w:t>A</w:t>
      </w:r>
      <w:r>
        <w:t xml:space="preserve">ldosterone </w:t>
      </w:r>
      <w:r w:rsidR="004227AE">
        <w:t>S</w:t>
      </w:r>
      <w:r>
        <w:t>ystem</w:t>
      </w:r>
    </w:p>
    <w:p w14:paraId="273406D6" w14:textId="6F3CDC68" w:rsidR="007F34FD" w:rsidRDefault="004227AE" w:rsidP="00E61242">
      <w:pPr>
        <w:pStyle w:val="ab"/>
      </w:pPr>
      <w:r>
        <w:t>DM</w:t>
      </w:r>
      <w:r>
        <w:tab/>
      </w:r>
      <w:r>
        <w:tab/>
        <w:t>Diabetes M</w:t>
      </w:r>
      <w:r w:rsidR="007F34FD">
        <w:t>ellitus</w:t>
      </w:r>
    </w:p>
    <w:p w14:paraId="741C6C9D" w14:textId="4EB2E8FC" w:rsidR="007F34FD" w:rsidRDefault="007F34FD" w:rsidP="00E61242">
      <w:pPr>
        <w:pStyle w:val="ab"/>
      </w:pPr>
      <w:r>
        <w:t>CKD</w:t>
      </w:r>
      <w:r>
        <w:tab/>
      </w:r>
      <w:r>
        <w:tab/>
        <w:t>Chronic Kidney Disease</w:t>
      </w:r>
    </w:p>
    <w:p w14:paraId="40A0FCC4" w14:textId="3B749F52" w:rsidR="004227AE" w:rsidRDefault="004227AE" w:rsidP="00E61242">
      <w:pPr>
        <w:pStyle w:val="ab"/>
      </w:pPr>
      <w:r>
        <w:t>MACCE</w:t>
      </w:r>
      <w:r>
        <w:tab/>
      </w:r>
      <w:r>
        <w:tab/>
        <w:t>M</w:t>
      </w:r>
      <w:r>
        <w:t xml:space="preserve">ajor </w:t>
      </w:r>
      <w:r>
        <w:t>A</w:t>
      </w:r>
      <w:r>
        <w:t xml:space="preserve">dvance </w:t>
      </w:r>
      <w:proofErr w:type="spellStart"/>
      <w:r>
        <w:t>C</w:t>
      </w:r>
      <w:r>
        <w:t>ardio</w:t>
      </w:r>
      <w:r>
        <w:t>C</w:t>
      </w:r>
      <w:r>
        <w:t>erebral</w:t>
      </w:r>
      <w:proofErr w:type="spellEnd"/>
      <w:r>
        <w:t xml:space="preserve"> </w:t>
      </w:r>
      <w:r>
        <w:t>E</w:t>
      </w:r>
      <w:r>
        <w:t>vent</w:t>
      </w:r>
    </w:p>
    <w:p w14:paraId="5779E419" w14:textId="77777777" w:rsidR="000E1A06" w:rsidRDefault="000E1A06" w:rsidP="00E61242">
      <w:pPr>
        <w:pStyle w:val="ab"/>
      </w:pPr>
      <w:r>
        <w:t>DCSI</w:t>
      </w:r>
      <w:r>
        <w:tab/>
      </w:r>
      <w:r>
        <w:tab/>
      </w:r>
      <w:r w:rsidRPr="000E1A06">
        <w:t>Diabetes Complications Severity Index</w:t>
      </w:r>
    </w:p>
    <w:p w14:paraId="314D8EB2" w14:textId="77777777" w:rsidR="00C33D4B" w:rsidRDefault="00C33D4B" w:rsidP="00E61242">
      <w:pPr>
        <w:pStyle w:val="ab"/>
      </w:pPr>
      <w:proofErr w:type="spellStart"/>
      <w:r>
        <w:t>MedDRA</w:t>
      </w:r>
      <w:proofErr w:type="spellEnd"/>
      <w:r>
        <w:tab/>
      </w:r>
      <w:r>
        <w:rPr>
          <w:rFonts w:ascii="Arial" w:hAnsi="Arial" w:cs="Arial"/>
          <w:color w:val="222222"/>
          <w:sz w:val="20"/>
          <w:szCs w:val="20"/>
          <w:shd w:val="clear" w:color="auto" w:fill="FFFFFF"/>
        </w:rPr>
        <w:t>Medical Dictionary for Regulatory Activities</w:t>
      </w:r>
    </w:p>
    <w:p w14:paraId="50AAF349" w14:textId="77777777" w:rsidR="00E61242" w:rsidRDefault="00E61242" w:rsidP="00E61242">
      <w:pPr>
        <w:pStyle w:val="ab"/>
      </w:pPr>
      <w:r>
        <w:t>OHDSI</w:t>
      </w:r>
      <w:r>
        <w:tab/>
      </w:r>
      <w:r>
        <w:tab/>
      </w:r>
      <w:r w:rsidRPr="00E61242">
        <w:t>Observational Health Data Sciences and Informatics</w:t>
      </w:r>
    </w:p>
    <w:p w14:paraId="494420B8" w14:textId="77777777" w:rsidR="00F579FE" w:rsidRDefault="00F579FE" w:rsidP="00E61242">
      <w:pPr>
        <w:pStyle w:val="ab"/>
      </w:pPr>
      <w:r>
        <w:t>OMOP</w:t>
      </w:r>
      <w:r>
        <w:tab/>
      </w:r>
      <w:r>
        <w:tab/>
        <w:t>Observational Medical Outcomes Partnership</w:t>
      </w:r>
    </w:p>
    <w:p w14:paraId="55A80D95" w14:textId="77777777" w:rsidR="003029C0" w:rsidRDefault="003029C0" w:rsidP="00E61242">
      <w:pPr>
        <w:pStyle w:val="ab"/>
      </w:pPr>
      <w:r>
        <w:t>PRR</w:t>
      </w:r>
      <w:r>
        <w:tab/>
      </w:r>
      <w:r>
        <w:tab/>
        <w:t>Proportional Reporting Ratio</w:t>
      </w:r>
    </w:p>
    <w:p w14:paraId="2B1DE5B2" w14:textId="38758960" w:rsidR="00B46B1E" w:rsidRDefault="00B46B1E" w:rsidP="00E61242">
      <w:pPr>
        <w:pStyle w:val="ab"/>
      </w:pPr>
      <w:r>
        <w:t>PS</w:t>
      </w:r>
      <w:r>
        <w:tab/>
      </w:r>
      <w:r>
        <w:tab/>
        <w:t>Propensity Scores</w:t>
      </w:r>
    </w:p>
    <w:p w14:paraId="10240517" w14:textId="4BFDBBF8" w:rsidR="007F34FD" w:rsidRDefault="007F34FD" w:rsidP="00E61242">
      <w:pPr>
        <w:pStyle w:val="ab"/>
      </w:pPr>
      <w:r>
        <w:t>NHIS-NSC</w:t>
      </w:r>
      <w:r>
        <w:tab/>
      </w:r>
      <w:r>
        <w:t xml:space="preserve">National Health Insurance Service-National Sample Cohort </w:t>
      </w:r>
    </w:p>
    <w:p w14:paraId="0020B217" w14:textId="27FA2CA6" w:rsidR="007F34FD" w:rsidRPr="00E61242" w:rsidRDefault="007F34FD" w:rsidP="00E61242">
      <w:pPr>
        <w:pStyle w:val="ab"/>
      </w:pPr>
    </w:p>
    <w:p w14:paraId="054CD3C7" w14:textId="2A5E3EBD" w:rsidR="00FF791A" w:rsidRDefault="000159BB" w:rsidP="000159BB">
      <w:pPr>
        <w:pStyle w:val="1"/>
      </w:pPr>
      <w:bookmarkStart w:id="2" w:name="_Toc470944204"/>
      <w:r>
        <w:t>Abstract</w:t>
      </w:r>
      <w:bookmarkEnd w:id="2"/>
    </w:p>
    <w:p w14:paraId="6ED3AF3C" w14:textId="47B05821" w:rsidR="00FF791A" w:rsidRPr="0083135A" w:rsidRDefault="00FF791A" w:rsidP="00FF791A">
      <w:pPr>
        <w:rPr>
          <w:rFonts w:ascii="Calibri" w:hAnsi="Calibri" w:cs="Calibri"/>
        </w:rPr>
      </w:pPr>
      <w:r w:rsidRPr="0083135A">
        <w:rPr>
          <w:rFonts w:ascii="Calibri" w:hAnsi="Calibri" w:cs="Calibri"/>
        </w:rPr>
        <w:t>High blood pressure is the leading global burden of death and disability</w:t>
      </w:r>
      <w:r>
        <w:rPr>
          <w:lang w:eastAsia="ko-KR"/>
        </w:rPr>
        <w:t xml:space="preserve">. Recently, growing evidence has supported the effectiveness of initiation of dual anti-hypertensive drug. However, the real-world evidence regarding to the optimal regimen </w:t>
      </w:r>
      <w:r w:rsidR="00CF681F">
        <w:rPr>
          <w:lang w:eastAsia="ko-KR"/>
        </w:rPr>
        <w:t xml:space="preserve">of combination </w:t>
      </w:r>
      <w:r>
        <w:rPr>
          <w:lang w:eastAsia="ko-KR"/>
        </w:rPr>
        <w:t xml:space="preserve">is still lacking. </w:t>
      </w:r>
      <w:r w:rsidRPr="0083135A">
        <w:rPr>
          <w:rFonts w:ascii="Calibri" w:hAnsi="Calibri" w:cs="Calibri"/>
        </w:rPr>
        <w:t xml:space="preserve">The goal of this protocols is conducting comparative effectiveness research to establish evidences for optimal anti-hypertensive combination </w:t>
      </w:r>
      <w:r w:rsidR="00CF681F">
        <w:rPr>
          <w:rFonts w:ascii="Calibri" w:hAnsi="Calibri" w:cs="Calibri"/>
        </w:rPr>
        <w:t>strategy</w:t>
      </w:r>
      <w:r w:rsidRPr="0083135A">
        <w:rPr>
          <w:rFonts w:ascii="Calibri" w:hAnsi="Calibri" w:cs="Calibri"/>
        </w:rPr>
        <w:t xml:space="preserve"> among patients without cardiovascular outcome from various databases across world. </w:t>
      </w:r>
    </w:p>
    <w:p w14:paraId="748F8628" w14:textId="2EC7B705" w:rsidR="00FF791A" w:rsidRPr="00FF791A" w:rsidRDefault="00FF791A" w:rsidP="00FF791A">
      <w:pPr>
        <w:rPr>
          <w:lang w:eastAsia="ko-KR"/>
        </w:rPr>
      </w:pPr>
    </w:p>
    <w:p w14:paraId="2C043740" w14:textId="77777777" w:rsidR="00EE73B8" w:rsidRDefault="003F2A9A" w:rsidP="00C84B89">
      <w:pPr>
        <w:pStyle w:val="1"/>
      </w:pPr>
      <w:bookmarkStart w:id="3" w:name="_Toc470944205"/>
      <w:r>
        <w:t>Rationale and B</w:t>
      </w:r>
      <w:r w:rsidR="00EE73B8">
        <w:t>ackground</w:t>
      </w:r>
      <w:bookmarkEnd w:id="1"/>
      <w:bookmarkEnd w:id="3"/>
    </w:p>
    <w:p w14:paraId="7E4F7D10" w14:textId="77777777" w:rsidR="00F05D4D" w:rsidRPr="0083135A" w:rsidRDefault="00F05D4D" w:rsidP="00F05D4D">
      <w:pPr>
        <w:jc w:val="both"/>
        <w:rPr>
          <w:rFonts w:ascii="Calibri" w:hAnsi="Calibri" w:cs="Calibri"/>
        </w:rPr>
      </w:pPr>
      <w:r w:rsidRPr="0083135A">
        <w:rPr>
          <w:rFonts w:ascii="Calibri" w:hAnsi="Calibri" w:cs="Calibri"/>
        </w:rPr>
        <w:t>High blood pressure is the leading global burden of death and disability</w:t>
      </w:r>
      <w:r w:rsidRPr="0083135A">
        <w:rPr>
          <w:rFonts w:ascii="Calibri" w:hAnsi="Calibri" w:cs="Calibri"/>
        </w:rPr>
        <w:fldChar w:fldCharType="begin"/>
      </w:r>
      <w:r w:rsidRPr="0083135A">
        <w:rPr>
          <w:rFonts w:ascii="Calibri" w:hAnsi="Calibri" w:cs="Calibri"/>
        </w:rPr>
        <w:instrText xml:space="preserve"> ADDIN ZOTERO_ITEM CSL_CITATION {"citationID":"bSJb8HKh","properties":{"formattedCitation":"{\\rtf \\super 1\\nosupersub{}}","plainCitation":"1"},"citationItems":[{"id":4195,"uris":["http://zotero.org/users/1354749/items/TXRXHQJV"],"uri":["http://zotero.org/users/1354749/items/TXRXHQJV"],"itemData":{"id":4195,"type":"article-journal","title":"Global, regional, and national comparative risk assessment of 79 behavioural, environmental and occupational, and metabolic risks or clusters of risks, 1990–2015: a systematic analysis for the Global Burden of Disease Study 2015","container-title":"The Lancet","page":"1659-1724","volume":"388","issue":"10053","source":"ScienceDirect","abstract":"SummaryBackground\nThe Global Burden of Diseases, Injuries, and Risk Factors Study 2015 provides an up-to-date synthesis of the evidence for risk factor exposure and the attributable burden of disease. By providing national and subnational assessments spanning the past 25 years, this study can inform debates on the importance of addressing risks in context.\nMethods\nWe used the comparative risk assessment framework developed for previous iterations of the Global Burden of Disease Study to estimate attributable deaths, disability-adjusted life-years (DALYs), and trends in exposure by age group, sex, year, and geography for 79 behavioural, environmental and occupational, and metabolic risks or clusters of risks from 1990 to 2015. This study included 388 risk-outcome pairs that met World Cancer Research Fund-defined criteria for convincing or probable evidence. We extracted relative risk and exposure estimates from randomised controlled trials, cohorts, pooled cohorts, household surveys, census data, satellite data, and other sources. We used statistical models to pool data, adjust for bias, and incorporate covariates. We developed a metric that allows comparisons of exposure across risk factors—the summary exposure value. Using the counterfactual scenario of theoretical minimum risk level, we estimated the portion of deaths and DALYs that could be attributed to a given risk. We decomposed trends in attributable burden into contributions from population growth, population age structure, risk exposure, and risk-deleted cause-specific DALY rates. We characterised risk exposure in relation to a Socio-demographic Index (SDI).\nFindings\nBetween 1990 and 2015, global exposure to unsafe sanitation, household air pollution, childhood underweight, childhood stunting, and smoking each decreased by more than 25%. Global exposure for several occupational risks, high body-mass index (BMI), and drug use increased by more than 25% over the same period. All risks jointly evaluated in 2015 accounted for 57·8% (95% CI 56·6–58·8) of global deaths and 41·2% (39·8–42·8) of DALYs. In 2015, the ten largest contributors to global DALYs among Level 3 risks were high systolic blood pressure (211·8 million [192·7 million to 231·1 million] global DALYs), smoking (148·6 million [134·2 million to 163·1 million]), high fasting plasma glucose (143·1 million [125·1 million to 163·5 million]), high BMI (120·1 million [83·8 million to 158·4 million]), childhood undernutrition (113·3 million [103·9 million to 123·4 million]), ambient particulate matter (103·1 million [90·8 million to 115·1 million]), high total cholesterol (88·7 million [74·6 million to 105·7 million]), household air pollution (85·6 million [66·7 million to 106·1 million]), alcohol use (85·0 million [77·2 million to 93·0 million]), and diets high in sodium (83·0 million [49·3 million to 127·5 million]). From 1990 to 2015, attributable DALYs declined for micronutrient deficiencies, childhood undernutrition, unsafe sanitation and water, and household air pollution; reductions in risk-deleted DALY rates rather than reductions in exposure drove these declines. Rising exposure contributed to notable increases in attributable DALYs from high BMI, high fasting plasma glucose, occupational carcinogens, and drug use. Environmental risks and childhood undernutrition declined steadily with SDI; low physical activity, high BMI, and high fasting plasma glucose increased with SDI. In 119 countries, metabolic risks, such as high BMI and fasting plasma glucose, contributed the most attributable DALYs in 2015. Regionally, smoking still ranked among the leading five risk factors for attributable DALYs in 109 countries; childhood underweight and unsafe sex remained primary drivers of early death and disability in much of sub-Saharan Africa.\nInterpretation\nDeclines in some key environmental risks have contributed to declines in critical infectious diseases. Some risks appear to be invariant to SDI. Increasing risks, including high BMI, high fasting plasma glucose, drug use, and some occupational exposures, contribute to rising burden from some conditions, but also provide opportunities for intervention. Some highly preventable risks, such as smoking, remain major causes of attributable DALYs, even as exposure is declining. Public policy makers need to pay attention to the risks that are increasingly major contributors to global burden.\nFunding\nBill &amp;amp; Melinda Gates Foundation.","DOI":"10.1016/S0140-6736(16)31679-8","ISSN":"0140-6736","shortTitle":"Global, regional, and national comparative risk assessment of 79 behavioural, environmental and occupational, and metabolic risks or clusters of risks, 1990–2015","journalAbbreviation":"The Lancet","author":[{"family":"Forouzanfar","given":"Mohammad H"},{"family":"Afshin","given":"Ashkan"},{"family":"Alexander","given":"Lily T"},{"family":"Anderson","given":"H Ross"},{"family":"Bhutta","given":"Zulfiqar A"},{"family":"Biryukov","given":"Stan"},{"family":"Brauer","given":"Michael"},{"family":"Burnett","given":"Richard"},{"family":"Cercy","given":"Kelly"},{"family":"Charlson","given":"Fiona J"},{"family":"Cohen","given":"Aaron J"},{"family":"Dandona","given":"Lalit"},{"family":"Estep","given":"Kara"},{"family":"Ferrari","given":"Alize J"},{"family":"Frostad","given":"Joseph J"},{"family":"Fullman","given":"Nancy"},{"family":"Gething","given":"Peter W"},{"family":"Godwin","given":"William W"},{"family":"Griswold","given":"Max"},{"family":"Kinfu","given":"Yohannes"},{"family":"Kyu","given":"Hmwe H"},{"family":"Larson","given":"Heidi J"},{"family":"Liang","given":"Xiaofeng"},{"family":"Lim","given":"Stephen S"},{"family":"Liu","given":"Patrick Y"},{"family":"Lopez","given":"Alan D"},{"family":"Lozano","given":"Rafael"},{"family":"Marczak","given":"Laurie"},{"family":"Mensah","given":"George A"},{"family":"Mokdad","given":"Ali H"},{"family":"Moradi-Lakeh","given":"Maziar"},{"family":"Naghavi","given":"Mohsen"},{"family":"Neal","given":"Bruce"},{"family":"Reitsma","given":"Marissa B"},{"family":"Roth","given":"Gregory A"},{"family":"Salomon","given":"Joshua A"},{"family":"Sur","given":"Patrick J"},{"family":"Vos","given":"Theo"},{"family":"Wagner","given":"Joseph A"},{"family":"Wang","given":"Haidong"},{"family":"Zhao","given":"Yi"},{"family":"Zhou","given":"Maigeng"},{"family":"Aasvang","given":"Gunn Marit"},{"family":"Abajobir","given":"Amanuel Alemu"},{"family":"Abate","given":"Kalkidan Hassen"},{"family":"Abbafati","given":"Cristiana"},{"family":"Abbas","given":"Kaja M"},{"family":"Abd-Allah","given":"Foad"},{"family":"Abdulle","given":"Abdishakur M"},{"family":"Abera","given":"Semaw Ferede"},{"family":"Abraham","given":"Biju"},{"family":"Abu-Raddad","given":"Laith J"},{"family":"Abyu","given":"Gebre Yitayih"},{"family":"Adebiyi","given":"Akindele Olupelumi"},{"family":"Adedeji","given":"Isaac Akinkunmi"},{"family":"Ademi","given":"Zanfina"},{"family":"Adou","given":"Arsène Kouablan"},{"family":"Adsuar","given":"José C"},{"family":"Agardh","given":"Emilie Elisabet"},{"family":"Agarwal","given":"Arnav"},{"family":"Agrawal","given":"Anurag"},{"family":"Kiadaliri","given":"Aliasghar Ahmad"},{"family":"Ajala","given":"Oluremi N"},{"family":"Akinyemiju","given":"Tomi F"},{"family":"Al-Aly","given":"Ziyad"},{"family":"Alam","given":"Khurshid"},{"family":"Alam","given":"Noore K M"},{"family":"Aldhahri","given":"Saleh Fahed"},{"family":"Aldridge","given":"Robert William"},{"family":"Alemu","given":"Zewdie Aderaw"},{"family":"Ali","given":"Raghib"},{"family":"Alkerwi","given":"Ala","dropping-particle":"'a"},{"family":"Alla","given":"François"},{"family":"Allebeck","given":"Peter"},{"family":"Alsharif","given":"Ubai"},{"family":"Altirkawi","given":"Khalid A"},{"family":"Martin","given":"Elena Alvarez"},{"family":"Alvis-Guzman","given":"Nelson"},{"family":"Amare","given":"Azmeraw T"},{"family":"Amberbir","given":"Alemayehu"},{"family":"Amegah","given":"Adeladza Kofi"},{"family":"Amini","given":"Heresh"},{"family":"Ammar","given":"Walid"},{"family":"Amrock","given":"Stephen Marc"},{"family":"Andersen","given":"Hjalte H"},{"family":"Anderson","given":"Benjamin O"},{"family":"Antonio","given":"Carl Abelardo T"},{"family":"Anwari","given":"Palwasha"},{"family":"Ärnlöv","given":"Johan"},{"family":"Artaman","given":"Al"},{"family":"Asayesh","given":"Hamid"},{"family":"Asghar","given":"Rana Jawad"},{"family":"Assadi","given":"Reza"},{"family":"Atique","given":"Suleman"},{"family":"Avokpaho","given":"Euripide Frinel G Arthur"},{"family":"Awasthi","given":"Ashish"},{"family":"Quintanilla","given":"Beatriz Paulina Ayala"},{"family":"Azzopardi","given":"Peter"},{"family":"Bacha","given":"Umar"},{"family":"Badawi","given":"Alaa"},{"family":"Bahit","given":"Maria C"},{"family":"Balakrishnan","given":"Kalpana"},{"family":"Barac","given":"Aleksandra"},{"family":"Barber","given":"Ryan M"},{"family":"Barker-Collo","given":"Suzanne L"},{"family":"Bärnighausen","given":"Till"},{"family":"Barquera","given":"Simon"},{"family":"Barregard","given":"Lars"},{"family":"Barrero","given":"Lope H"},{"family":"Basu","given":"Sanjay"},{"family":"Batis","given":"Carolina"},{"family":"Bazargan-Hejazi","given":"Shahrzad"},{"family":"Beardsley","given":"Justin"},{"family":"Bedi","given":"Neeraj"},{"family":"Beghi","given":"Ettore"},{"family":"Bell","given":"Michelle L"},{"family":"Bello","given":"Aminu K"},{"family":"Bennett","given":"Derrick A"},{"family":"Bensenor","given":"Isabela M"},{"family":"Berhane","given":"Adugnaw"},{"family":"Bernabé","given":"Eduardo"},{"family":"Betsu","given":"Balem Demtsu"},{"family":"Beyene","given":"Addisu Shunu"},{"family":"Bhala","given":"Neeraj"},{"family":"Bhansali","given":"Anil"},{"family":"Bhatt","given":"Samir"},{"family":"Biadgilign","given":"Sibhatu"},{"family":"Bikbov","given":"Boris"},{"family":"Bisanzio","given":"Donal"},{"family":"Bjertness","given":"Espen"},{"family":"Blore","given":"Jed D"},{"family":"Borschmann","given":"Rohan"},{"family":"Boufous","given":"Soufiane"},{"family":"Bourne","given":"Rupert R A"},{"family":"Brainin","given":"Michael"},{"family":"Brazinova","given":"Alexandra"},{"family":"Breitborde","given":"Nicholas J K"},{"family":"Brenner","given":"Hermann"},{"family":"Broday","given":"David M"},{"family":"Brugha","given":"Traolach S"},{"family":"Brunekreef","given":"Bert"},{"family":"Butt","given":"Zahid A"},{"family":"Cahill","given":"Leah E"},{"family":"Calabria","given":"Bianca"},{"family":"Campos-Nonato","given":"Ismael Ricardo"},{"family":"Cárdenas","given":"Rosario"},{"family":"Carpenter","given":"David O"},{"family":"Casey","given":"Daniel C"},{"family":"Castañeda-Orjuela","given":"Carlos A"},{"family":"Rivas","given":"Jacqueline Castillo"},{"family":"Castro","given":"Ruben Estanislao"},{"family":"Catalá-López","given":"Ferrán"},{"family":"Chang","given":"Jung-Chen"},{"family":"Chiang","given":"Peggy Pei-Chia"},{"family":"Chibalabala","given":"Mirriam"},{"family":"Chimed-Ochir","given":"Odgerel"},{"family":"Chisumpa","given":"Vesper Hichilombwe"},{"family":"Chitheer","given":"Abdulaal A"},{"family":"Choi","given":"Jee-Young Jasmine"},{"family":"Christensen","given":"Hanne"},{"family":"Christopher","given":"Devasahayam Jesudas"},{"family":"Ciobanu","given":"Liliana G"},{"family":"Coates","given":"Matthew M"},{"family":"Colquhoun","given":"Samantha M"},{"family":"Cooper","given":"Leslie Trumbull"},{"family":"Cooperrider","given":"Kimberly"},{"family":"Cornaby","given":"Leslie"},{"family":"Cortinovis","given":"Monica"},{"family":"Crump","given":"John A"},{"family":"Cuevas-Nasu","given":"Lucia"},{"family":"Damasceno","given":"Albertino"},{"family":"Dandona","given":"Rakhi"},{"family":"Darby","given":"Sarah C"},{"family":"Dargan","given":"Paul I"},{"family":"Neves","given":"José","non-dropping-particle":"das"},{"family":"Davis","given":"Adrian C"},{"family":"Davletov","given":"Kairat"},{"family":"Castro","given":"E Filipa","non-dropping-particle":"de"},{"family":"De la Cruz-Góngora","given":"Vanessa"},{"family":"De Leo","given":"Diego"},{"family":"Degenhardt","given":"Louisa"},{"family":"Del Gobbo","given":"Liana C"},{"family":"Pozo-Cruz","given":"Borja","non-dropping-particle":"del"},{"family":"Dellavalle","given":"Robert P"},{"family":"Deribew","given":"Amare"},{"family":"Jarlais","given":"Don C Des"},{"family":"Dharmaratne","given":"Samath D"},{"family":"Dhillon","given":"Preet K"},{"family":"Diaz-Torné","given":"Cesar"},{"family":"Dicker","given":"Daniel"},{"family":"Ding","given":"Eric L"},{"family":"Dorsey","given":"E Ray"},{"family":"Doyle","given":"Kerrie E"},{"family":"Driscoll","given":"Tim R"},{"family":"Duan","given":"Leilei"},{"family":"Dubey","given":"Manisha"},{"family":"Duncan","given":"Bruce Bartholow"},{"family":"Elyazar","given":"Iqbal"},{"family":"Endries","given":"Aman Yesuf"},{"family":"Ermakov","given":"Sergey Petrovich"},{"family":"Erskine","given":"Holly E"},{"family":"Eshrati","given":"Babak"},{"family":"Esteghamati","given":"Alireza"},{"family":"Fahimi","given":"Saman"},{"family":"Faraon","given":"Emerito Jose Aquino"},{"family":"Farid","given":"Talha A"},{"family":"Farinha","given":"Carla Sofia e Sa"},{"family":"Faro","given":"André"},{"family":"Farvid","given":"Maryam S"},{"family":"Farzadfar","given":"Farshad"},{"family":"Feigin","given":"Valery L"},{"family":"Fereshtehnejad","given":"Seyed-Mohammad"},{"family":"Fernandes","given":"Jefferson G"},{"family":"Fischer","given":"Florian"},{"family":"Fitchett","given":"Joseph R A"},{"family":"Fleming","given":"Tom"},{"family":"Foigt","given":"Nataliya"},{"family":"Foreman","given":"Kyle"},{"family":"Fowkes","given":"F Gerry R"},{"family":"Franklin","given":"Richard C"},{"family":"Fürst","given":"Thomas"},{"family":"Futran","given":"Neal D"},{"family":"Gakidou","given":"Emmanuela"},{"family":"Garcia-Basteiro","given":"Alberto L"},{"family":"Gebrehiwot","given":"Tsegaye Tewelde"},{"family":"Gebremedhin","given":"Amanuel Tesfay"},{"family":"Geleijnse","given":"Johanna M"},{"family":"Gessner","given":"Bradford D"},{"family":"Giref","given":"Ababi Zergaw"},{"family":"Giroud","given":"Maurice"},{"family":"Gishu","given":"Melkamu Dedefo"},{"family":"Goenka","given":"Shifalika"},{"family":"Gomez-Cabrera","given":"Mari Carmen"},{"family":"Gomez-Dantes","given":"Hector"},{"family":"Gona","given":"Philimon"},{"family":"Goodridge","given":"Amador"},{"family":"Gopalani","given":"Sameer Vali"},{"family":"Gotay","given":"Carolyn C"},{"family":"Goto","given":"Atsushi"},{"family":"Gouda","given":"Hebe N"},{"family":"Gugnani","given":"Harish Chander"},{"family":"Guillemin","given":"Francis"},{"family":"Guo","given":"Yuming"},{"family":"Gupta","given":"Rahul"},{"family":"Gupta","given":"Rajeev"},{"family":"Gutiérrez","given":"Reyna A"},{"family":"Haagsma","given":"Juanita A"},{"family":"Hafezi-Nejad","given":"Nima"},{"family":"Haile","given":"Demewoz"},{"family":"Hailu","given":"Gessessew Bugssa"},{"family":"Halasa","given":"Yara A"},{"family":"Hamadeh","given":"Randah Ribhi"},{"family":"Hamidi","given":"Samer"},{"family":"Handal","given":"Alexis J"},{"family":"Hankey","given":"Graeme J"},{"family":"Hao","given":"Yuantao"},{"family":"Harb","given":"Hilda L"},{"family":"Harikrishnan","given":"Sivadasanpillai"},{"family":"Haro","given":"Josep Maria"},{"family":"Hassanvand","given":"Mohammad Sadegh"},{"family":"Hassen","given":"Tahir Ahmed"},{"family":"Havmoeller","given":"Rasmus"},{"family":"Heredia-Pi","given":"Ileana Beatriz"},{"family":"Hernández-Llanes","given":"Norberto Francisco"},{"family":"Heydarpour","given":"Pouria"},{"family":"Hoek","given":"Hans W"},{"family":"Hoffman","given":"Howard J"},{"family":"Horino","given":"Masako"},{"family":"Horita","given":"Nobuyuki"},{"family":"Hosgood","given":"H Dean"},{"family":"Hoy","given":"Damian G"},{"family":"Hsairi","given":"Mohamed"},{"family":"Htet","given":"Aung Soe"},{"family":"Hu","given":"Guoqing"},{"family":"Huang","given":"John J"},{"family":"Husseini","given":"Abdullatif"},{"family":"Hutchings","given":"Sally J"},{"family":"Huybrechts","given":"Inge"},{"family":"Iburg","given":"Kim Moesgaard"},{"family":"Idrisov","given":"Bulat T"},{"family":"Ileanu","given":"Bogdan Vasile"},{"family":"Inoue","given":"Manami"},{"family":"Jacobs","given":"Troy A"},{"family":"Jacobsen","given":"Kathryn H"},{"family":"Jahanmehr","given":"Nader"},{"family":"Jakovljevic","given":"Mihajlo B"},{"family":"Jansen","given":"Henrica A F M"},{"family":"Jassal","given":"Simerjot K"},{"family":"Javanbakht","given":"Mehdi"},{"family":"Jayatilleke","given":"Achala Upendra"},{"family":"Jee","given":"Sun Ha"},{"family":"Jeemon","given":"Panniyammakal"},{"family":"Jha","given":"Vivekanand"},{"family":"Jiang","given":"Ying"},{"family":"Jibat","given":"Tariku"},{"family":"Jin","given":"Ye"},{"family":"Johnson","given":"Catherine O"},{"family":"Jonas","given":"Jost B"},{"family":"Kabir","given":"Zubair"},{"family":"Kalkonde","given":"Yogeshwar"},{"family":"Kamal","given":"Ritul"},{"family":"Kan","given":"Haidong"},{"family":"Karch","given":"André"},{"family":"Karema","given":"Corine Kakizi"},{"family":"Karimkhani","given":"Chante"},{"family":"Kasaeian","given":"Amir"},{"family":"Kaul","given":"Anil"},{"family":"Kawakami","given":"Norito"},{"family":"Kazi","given":"Dhruv S"},{"family":"Keiyoro","given":"Peter Njenga"},{"family":"Kemp","given":"Andrew Haddon"},{"family":"Kengne","given":"Andre Pascal"},{"family":"Keren","given":"Andre"},{"family":"Kesavachandran","given":"Chandrasekharan Nair"},{"family":"Khader","given":"Yousef Saleh"},{"family":"Khan","given":"Abdur Rahman"},{"family":"Khan","given":"Ejaz Ahmad"},{"family":"Khan","given":"Gulfaraz"},{"family":"Khang","given":"Young-Ho"},{"family":"Khatibzadeh","given":"Shahab"},{"family":"Khera","given":"Sahil"},{"family":"Khoja","given":"Tawfik Ahmed Muthafer"},{"family":"Khubchandani","given":"Jagdish"},{"family":"Kieling","given":"Christian"},{"family":"Kim","given":"Cho-il"},{"family":"Kim","given":"Daniel"},{"family":"Kimokoti","given":"Ruth W"},{"family":"Kissoon","given":"Niranjan"},{"family":"Kivipelto","given":"Miia"},{"family":"Knibbs","given":"Luke D"},{"family":"Kokubo","given":"Yoshihiro"},{"family":"Kopec","given":"Jacek A"},{"family":"Koul","given":"Parvaiz A"},{"family":"Koyanagi","given":"Ai"},{"family":"Kravchenko","given":"Michael"},{"family":"Kromhout","given":"Hans"},{"family":"Krueger","given":"Hans"},{"family":"Ku","given":"Tiffany"},{"family":"Defo","given":"Barthelemy Kuate"},{"family":"Kuchenbecker","given":"Ricardo S"},{"family":"Bicer","given":"Burcu Kucuk"},{"family":"Kuipers","given":"Ernst J"},{"family":"Kumar","given":"G Anil"},{"family":"Kwan","given":"Gene F"},{"family":"Lal","given":"Dharmesh Kumar"},{"family":"Lalloo","given":"Ratilal"},{"family":"Lallukka","given":"Tea"},{"family":"Lan","given":"Qing"},{"family":"Larsson","given":"Anders"},{"family":"Latif","given":"Asma Abdul"},{"family":"Lawrynowicz","given":"Alicia Elena Beatriz"},{"family":"Leasher","given":"Janet L"},{"family":"Leigh","given":"James"},{"family":"Leung","given":"Janni"},{"family":"Levi","given":"Miriam"},{"family":"Li","given":"Xiaohong"},{"family":"Li","given":"Yichong"},{"family":"Liang","given":"Juan"},{"family":"Liu","given":"Shiwei"},{"family":"Lloyd","given":"Belinda K"},{"family":"Logroscino","given":"Giancarlo"},{"family":"Lotufo","given":"Paulo A"},{"family":"Lunevicius","given":"Raimundas"},{"family":"MacIntyre","given":"Michael"},{"family":"Mahdavi","given":"Mahdi"},{"family":"Majdan","given":"Marek"},{"family":"Majeed","given":"Azeem"},{"family":"Malekzadeh","given":"Reza"},{"family":"Malta","given":"Deborah Carvalho"},{"family":"Manamo","given":"Wondimu Ayele Ayele"},{"family":"Mapoma","given":"Chabila C"},{"family":"Marcenes","given":"Wagner"},{"family":"Martin","given":"Randall V"},{"family":"Martinez-Raga","given":"Jose"},{"family":"Masiye","given":"Felix"},{"family":"Matsushita","given":"Kunihiro"},{"family":"Matzopoulos","given":"Richard"},{"family":"Mayosi","given":"Bongani M"},{"family":"McGrath","given":"John J"},{"family":"McKee","given":"Martin"},{"family":"Meaney","given":"Peter A"},{"family":"Medina","given":"Catalina"},{"family":"Mehari","given":"Alem"},{"family":"Mejia-Rodriguez","given":"Fabiola"},{"family":"Mekonnen","given":"Alemayehu B"},{"family":"Melaku","given":"Yohannes Adama"},{"family":"Memish","given":"Ziad A"},{"family":"Mendoza","given":"Walter"},{"family":"Mensink","given":"Gert B M"},{"family":"Meretoja","given":"Atte"},{"family":"Meretoja","given":"Tuomo J"},{"family":"Mesfin","given":"Yonatan Moges"},{"family":"Mhimbira","given":"Francis Apolinary"},{"family":"Miller","given":"Ted R"},{"family":"Mills","given":"Edward J"},{"family":"Mirarefin","given":"Mojde"},{"family":"Misganaw","given":"Awoke"},{"family":"Mock","given":"Charles N"},{"family":"Mohammadi","given":"Alireza"},{"family":"Mohammed","given":"Shafiu"},{"family":"Mola","given":"Glen Liddell D"},{"family":"Monasta","given":"Lorenzo"},{"family":"Hernandez","given":"Julio Cesar Montañez"},{"family":"Montico","given":"Marcella"},{"family":"Morawska","given":"Lidia"},{"family":"Mori","given":"Rintaro"},{"family":"Mozaffarian","given":"Dariush"},{"family":"Mueller","given":"Ulrich O"},{"family":"Mullany","given":"Erin"},{"family":"Mumford","given":"John Everett"},{"family":"Murthy","given":"Gudlavalleti Venkata Satyanarayana"},{"family":"Nachega","given":"Jean B"},{"family":"Naheed","given":"Aliya"},{"family":"Nangia","given":"Vinay"},{"family":"Nassiri","given":"Nariman"},{"family":"Newton","given":"John N"},{"family":"Ng","given":"Marie"},{"family":"Nguyen","given":"Quyen Le"},{"family":"Nisar","given":"Muhammad Imran"},{"family":"Pete","given":"Patrick Martial Nkamedjie"},{"family":"Norheim","given":"Ole F"},{"family":"Norman","given":"Rosana E"},{"family":"Norrving","given":"Bo"},{"family":"Nyakarahuka","given":"Luke"},{"family":"Obermeyer","given":"Carla Makhlouf"},{"family":"Ogbo","given":"Felix Akpojene"},{"family":"Oh","given":"In-Hwan"},{"family":"Oladimeji","given":"Olanrewaju"},{"family":"Olivares","given":"Pedro R"},{"family":"Olsen","given":"Helen"},{"family":"Olusanya","given":"Bolajoko Olubukunola"},{"family":"Olusanya","given":"Jacob Olusegun"},{"family":"Opio","given":"John Nelson"},{"family":"Oren","given":"Eyal"},{"family":"Orozco","given":"Ricardo"},{"family":"Ortiz","given":"Alberto"},{"family":"Ota","given":"Erika"},{"family":"PA","given":"Mahesh"},{"family":"Pana","given":"Adrian"},{"family":"Park","given":"Eun-Kee"},{"family":"Parry","given":"Charles D"},{"family":"Parsaeian","given":"Mahboubeh"},{"family":"Patel","given":"Tejas"},{"family":"Caicedo","given":"Angel J Paternina"},{"family":"Patil","given":"Snehal T"},{"family":"Patten","given":"Scott B"},{"family":"Patton","given":"George C"},{"family":"Pearce","given":"Neil"},{"family":"Pereira","given":"David M"},{"family":"Perico","given":"Norberto"},{"family":"Pesudovs","given":"Konrad"},{"family":"Petzold","given":"Max"},{"family":"Phillips","given":"Michael Robert"},{"family":"Piel","given":"Frédéric B"},{"family":"Pillay","given":"Julian David"},{"family":"Plass","given":"Dietrich"},{"family":"Polinder","given":"Suzanne"},{"family":"Pond","given":"Constance D"},{"family":"Pope","given":"C Arden"},{"family":"Pope","given":"Daniel"},{"family":"Popova","given":"Svetlana"},{"family":"Poulton","given":"Richie G"},{"family":"Pourmalek","given":"Farshad"},{"family":"Prasad","given":"Noela M"},{"family":"Qorbani","given":"Mostafa"},{"family":"Rabiee","given":"Rynaz H S"},{"family":"Radfar","given":"Amir"},{"family":"Rafay","given":"Anwar"},{"family":"Rahimi-Movaghar","given":"Vafa"},{"family":"Rahman","given":"Mahfuzar"},{"family":"Rahman","given":"Mohammad Hifz Ur"},{"family":"Rahman","given":"Sajjad Ur"},{"family":"Rai","given":"Rajesh Kumar"},{"family":"Rajsic","given":"Sasa"},{"family":"Raju","given":"Murugesan"},{"family":"Ram","given":"Usha"},{"family":"Rana","given":"Saleem M"},{"family":"Ranganathan","given":"Kavitha"},{"family":"Rao","given":"Puja"},{"family":"García","given":"Christian Aspacia Razo"},{"family":"Refaat","given":"Amany H"},{"family":"Rehm","given":"Colin D"},{"family":"Rehm","given":"Jürgen"},{"family":"Reinig","given":"Nikolas"},{"family":"Remuzzi","given":"Giuseppe"},{"family":"Resnikoff","given":"Serge"},{"family":"Ribeiro","given":"Antonio L"},{"family":"Rivera","given":"Juan A"},{"family":"Roba","given":"Hirbo Shore"},{"family":"Rodriguez","given":"Alina"},{"family":"Rodriguez-Ramirez","given":"Sonia"},{"family":"Rojas-Rueda","given":"David"},{"family":"Roman","given":"Yesenia"},{"family":"Ronfani","given":"Luca"},{"family":"Roshandel","given":"Gholamreza"},{"family":"Rothenbacher","given":"Dietrich"},{"family":"Roy","given":"Ambuj"},{"family":"Saleh","given":"Muhammad Muhammad"},{"family":"Sanabria","given":"Juan R"},{"family":"Sanchez-Niño","given":"Maria Dolores"},{"family":"Sánchez-Pimienta","given":"Tania G"},{"family":"Sandar","given":"Logan"},{"family":"Santomauro","given":"Damian F"},{"family":"Santos","given":"Itamar S"},{"family":"Sarmiento-Suarez","given":"Rodrigo"},{"family":"Sartorius","given":"Benn"},{"family":"Satpathy","given":"Maheswar"},{"family":"Savic","given":"Miloje"},{"family":"Sawhney","given":"Monika"},{"family":"Schmidhuber","given":"Josef"},{"family":"Schmidt","given":"Maria Inês"},{"family":"Schneider","given":"Ione J C"},{"family":"Schöttker","given":"Ben"},{"family":"Schutte","given":"Aletta E"},{"family":"Schwebel","given":"David C"},{"family":"Scott","given":"James G"},{"family":"Seedat","given":"Soraya"},{"family":"Sepanlou","given":"Sadaf G"},{"family":"Servan-Mori","given":"Edson E"},{"family":"Shaheen","given":"Amira"},{"family":"Shahraz","given":"Saeid"},{"family":"Shaikh","given":"Masood Ali"},{"family":"Levy","given":"Teresa Shamah"},{"family":"Sharma","given":"Rajesh"},{"family":"She","given":"Jun"},{"family":"Sheikhbahaei","given":"Sara"},{"family":"Shen","given":"Jiabin"},{"family":"Sheth","given":"Kevin N"},{"family":"Shi","given":"Peilin"},{"family":"Shibuya","given":"Kenji"},{"family":"Shigematsu","given":"Mika"},{"family":"Shin","given":"Min-Jeong"},{"family":"Shiri","given":"Rahman"},{"family":"Shishani","given":"Kawkab"},{"family":"Shiue","given":"Ivy"},{"family":"Shrime","given":"Mark G"},{"family":"Sigfusdottir","given":"Inga Dora"},{"family":"Silva","given":"Diego Augusto Santos"},{"family":"Silveira","given":"Dayane Gabriele Alves"},{"family":"Silverberg","given":"Jonathan I"},{"family":"Simard","given":"Edgar P"},{"family":"Sindi","given":"Shireen"},{"family":"Singh","given":"Abhishek"},{"family":"Singh","given":"Jasvinder A"},{"family":"Singh","given":"Prashant Kumar"},{"family":"Slepak","given":"Erica Leigh"},{"family":"Soljak","given":"Michael"},{"family":"Soneji","given":"Samir"},{"family":"Sorensen","given":"Reed J D"},{"family":"Sposato","given":"Luciano A"},{"family":"Sreeramareddy","given":"Chandrashekhar T"},{"family":"Stathopoulou","given":"Vasiliki"},{"family":"Steckling","given":"Nadine"},{"family":"Steel","given":"Nicholas"},{"family":"Stein","given":"Dan J"},{"family":"Stein","given":"Murray B"},{"family":"Stöckl","given":"Heidi"},{"family":"Stranges","given":"Saverio"},{"family":"Stroumpoulis","given":"Konstantinos"},{"family":"Sunguya","given":"Bruno F"},{"family":"Swaminathan","given":"Soumya"},{"family":"Sykes","given":"Bryan L"},{"family":"Szoeke","given":"Cassandra E I"},{"family":"Tabarés-Seisdedos","given":"Rafael"},{"family":"Takahashi","given":"Ken"},{"family":"Talongwa","given":"Roberto Tchio"},{"family":"Tandon","given":"Nikhil"},{"family":"Tanne","given":"David"},{"family":"Tavakkoli","given":"Mohammad"},{"family":"Taye","given":"Belaynew Wasie"},{"family":"Taylor","given":"Hugh R"},{"family":"Tedla","given":"Bemnet Amare"},{"family":"Tefera","given":"Worku Mekonnen"},{"family":"Tegegne","given":"Teketo Kassaw"},{"family":"Tekle","given":"Dejen Yemane"},{"family":"Terkawi","given":"Abdullah Sulieman"},{"family":"Thakur","given":"J S"},{"family":"Thomas","given":"Bernadette A"},{"family":"Thomas","given":"Matthew Lloyd"},{"family":"Thomson","given":"Alan J"},{"family":"Thorne-Lyman","given":"Andrew L"},{"family":"Thrift","given":"Amanda G"},{"family":"Thurston","given":"George D"},{"family":"Tillmann","given":"Taavi"},{"family":"Tobe-Gai","given":"Ruoyan"},{"family":"Tobollik","given":"Myriam"},{"family":"Topor-Madry","given":"Roman"},{"family":"Topouzis","given":"Fotis"},{"family":"Towbin","given":"Jeffrey Allen"},{"family":"Tran","given":"Bach Xuan"},{"family":"Dimbuene","given":"Zacharie Tsala"},{"family":"Tsilimparis","given":"Nikolaos"},{"family":"Tura","given":"Abera Kenay"},{"family":"Tuzcu","given":"Emin Murat"},{"family":"Tyrovolas","given":"Stefanos"},{"family":"Ukwaja","given":"Kingsley N"},{"family":"Undurraga","given":"Eduardo A"},{"family":"Uneke","given":"Chigozie Jesse"},{"family":"Uthman","given":"Olalekan A"},{"family":"Donkelaar","given":"Aaron","non-dropping-particle":"van"},{"family":"Os","given":"Jim","non-dropping-particle":"van"},{"family":"Varakin","given":"Yuri Y"},{"family":"Vasankari","given":"Tommi"},{"family":"Veerman","given":"J Lennert"},{"family":"Venketasubramanian","given":"Narayanaswamy"},{"family":"Violante","given":"Francesco S"},{"family":"Vollset","given":"Stein Emil"},{"family":"Wagner","given":"Gregory R"},{"family":"Waller","given":"Stephen G"},{"family":"Wang","given":"Jian Li"},{"family":"Wang","given":"Linhong"},{"family":"Wang","given":"Yanping"},{"family":"Weichenthal","given":"Scott"},{"family":"Weiderpass","given":"Elisabete"},{"family":"Weintraub","given":"Robert G"},{"family":"Werdecker","given":"Andrea"},{"family":"Westerman","given":"Ronny"},{"family":"Whiteford","given":"Harvey A"},{"family":"Wijeratne","given":"Tissa"},{"family":"Wiysonge","given":"Charles Shey"},{"family":"Wolfe","given":"Charles D A"},{"family":"Won","given":"Sungho"},{"family":"Woolf","given":"Anthony D"},{"family":"Wubshet","given":"Mamo"},{"family":"Xavier","given":"Denis"},{"family":"Xu","given":"Gelin"},{"family":"Yadav","given":"Ajit Kumar"},{"family":"Yakob","given":"Bereket"},{"family":"Yalew","given":"Ayalnesh Zemene"},{"family":"Yano","given":"Yuichiro"},{"family":"Yaseri","given":"Mehdi"},{"family":"Ye","given":"Pengpeng"},{"family":"Yip","given":"Paul"},{"family":"Yonemoto","given":"Naohiro"},{"family":"Yoon","given":"Seok-Jun"},{"family":"Younis","given":"Mustafa Z"},{"family":"Yu","given":"Chuanhua"},{"family":"Zaidi","given":"Zoubida"},{"family":"Zaki","given":"Maysaa El Sayed"},{"family":"Zhu","given":"Jun"},{"family":"Zipkin","given":"Ben"},{"family":"Zodpey","given":"Sanjay"},{"family":"Zuhlke","given":"Liesl Joanna"},{"family":"Murray","given":"Christopher J L"}],"issued":{"date-parts":[["2016",10,14]]}}}],"schema":"https://github.com/citation-style-language/schema/raw/master/csl-citation.json"}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1</w:t>
      </w:r>
      <w:r w:rsidRPr="0083135A">
        <w:rPr>
          <w:rFonts w:ascii="Calibri" w:hAnsi="Calibri" w:cs="Calibri"/>
        </w:rPr>
        <w:fldChar w:fldCharType="end"/>
      </w:r>
      <w:r w:rsidRPr="0083135A">
        <w:rPr>
          <w:rFonts w:ascii="Calibri" w:hAnsi="Calibri" w:cs="Calibri"/>
        </w:rPr>
        <w:t>. Extensive evidences support the beneficial effects in tight control of blood pressure. Since monotherapy is often insufficient or slow to reach blood pressure target quickly</w:t>
      </w:r>
      <w:r w:rsidRPr="0083135A">
        <w:rPr>
          <w:rFonts w:ascii="Calibri" w:hAnsi="Calibri" w:cs="Calibri"/>
        </w:rPr>
        <w:fldChar w:fldCharType="begin"/>
      </w:r>
      <w:r w:rsidRPr="0083135A">
        <w:rPr>
          <w:rFonts w:ascii="Calibri" w:hAnsi="Calibri" w:cs="Calibri"/>
        </w:rPr>
        <w:instrText xml:space="preserve"> ADDIN ZOTERO_ITEM CSL_CITATION {"citationID":"au8KXZsf","properties":{"formattedCitation":"{\\rtf \\super 2\\nosupersub{}}","plainCitation":"2"},"citationItems":[{"id":4266,"uris":["http://zotero.org/users/1354749/items/DZ7CXRHS"],"uri":["http://zotero.org/users/1354749/items/DZ7CXRHS"],"itemData":{"id":4266,"type":"article-journal","title":"Success and predictors of blood pressure control in diverse North American settings: the antihypertensive and lipid-lowering treatment to prevent heart attack trial (ALLHAT)","container-title":"Journal of Clinical Hypertension (Greenwich, Conn.)","page":"393-404","volume":"4","issue":"6","source":"PubMed","abstract":"CONTEXT: Blood pressure control (&lt;140/90 mm Hg) rates for hypertension fall far short of the US national goal of 50% or more. Achievable control rates in varied practice settings and geographic regions and factors that predict improved blood pressure control are not well identified.\nOBJECTIVE: To determine the success and predictors of blood pressure control in a large hypertension trial involving a multiethnic population in diverse practice settings.\nDESIGN: The Antihypertensive and Lipid-Lowering Treatment to Prevent Heart Attack Trial is a randomized, double-blind, active-controlled clinical trial with a mean follow-up of 4.9 years. Participant enrollment began in February 1994 and follow-up was completed in March 2002.\nSETTING: A total of 623 centers in the United States, Canada, and the Caribbean.\nPARTICIPANTS: A total of 33,357 participants (aged &gt; or =55 years) with hypertension and at least one other coronary heart disease risk factor.\nINTERVENTIONS: Participants were randomly assigned to receive (double-blind) chlorthalidone, 12.5-25 mg/d (n=15,255), amlodipine 2.5-10 mg/d (n=9048), or lisinopril 10-40 mg/d (n=9054) after other medication was discontinued. Doses were increased within these ranges and additional drugs from other classes were added as needed to achieve blood pressure control (&lt;140/90 mm Hg).\nMAIN OUTCOME MEASURES: The outcome measures for this report are systolic and diastolic blood pressure, the proportion of participants achieving blood pressure control (&lt;140/90 mm Hg), and the number of drugs required to achieve control in all three groups combined.\nRESULTS: Mean age was 67 years, 47% were women, 35% black, 36% diabetic; 90% were on antihypertensive drug treatment at entry. At the first of two pre-randomization visits, blood pressure was &lt;140/90 mm Hg in only 27.4% of participants. After 5 years of follow-up, the percent controlled improved to 66%. Systolic blood pressure was &lt;140 mm Hg in 67% of participants, diastolic blood pressure was &lt;90 mm Hg in 92%, the mean number of drugs prescribed was 2.0+/-1.0, and the percent on &gt; or =2 drugs was 63%. Blood pressure control varied by geographic regions, practice settings, and demographic and clinical characteristics of participants.\nCONCLUSIONS: These data demonstrate that blood pressure may be controlled in two thirds of a multiethnic hypertensive population in diverse practice settings. Systolic blood pressure is more difficult to control than diastolic blood pressure, and at least two antihypertensive medications are required for most patients to achieve blood pressure control. It is likely that the majority of people with hypertension could achieve a blood pressure &lt;140/90 mm Hg with the antihypertensive medications available today.","ISSN":"1524-6175","note":"PMID: 12461301","shortTitle":"Success and predictors of blood pressure control in diverse North American settings","journalAbbreviation":"J Clin Hypertens (Greenwich)","language":"eng","author":[{"family":"Cushman","given":"William C."},{"family":"Ford","given":"Charles E."},{"family":"Cutler","given":"Jeffrey A."},{"family":"Margolis","given":"Karen L."},{"family":"Davis","given":"Barry R."},{"family":"Grimm","given":"Richard H."},{"family":"Black","given":"Henry R."},{"family":"Hamilton","given":"Bruce P."},{"family":"Holland","given":"Joanne"},{"family":"Nwachuku","given":"Chuke"},{"family":"Papademetriou","given":"Vasilios"},{"family":"Probstfield","given":"Jeffery"},{"family":"Wright","given":"Jackson T."},{"family":"Alderman","given":"Michael H."},{"family":"Weiss","given":"Robert J."},{"family":"Piller","given":"Linda"},{"family":"Bettencourt","given":"Judy"},{"family":"Walsh","given":"Sandra M."},{"literal":"ALLHAT Collaborative Research Group"}],"issued":{"date-parts":[["2002",12]]},"PMID":"12461301"}}],"schema":"https://github.com/citation-style-language/schema/raw/master/csl-citation.json"}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2</w:t>
      </w:r>
      <w:r w:rsidRPr="0083135A">
        <w:rPr>
          <w:rFonts w:ascii="Calibri" w:hAnsi="Calibri" w:cs="Calibri"/>
        </w:rPr>
        <w:fldChar w:fldCharType="end"/>
      </w:r>
      <w:r w:rsidRPr="0083135A">
        <w:rPr>
          <w:rFonts w:ascii="Calibri" w:hAnsi="Calibri" w:cs="Calibri"/>
        </w:rPr>
        <w:t>, combination therapy is recommended as the first-line treatment for selected patients with hypertension by the recent guideline to reduce cardiovascular risk</w:t>
      </w:r>
      <w:r w:rsidRPr="0083135A">
        <w:rPr>
          <w:rFonts w:ascii="Calibri" w:hAnsi="Calibri" w:cs="Calibri"/>
        </w:rPr>
        <w:fldChar w:fldCharType="begin"/>
      </w:r>
      <w:r w:rsidRPr="0083135A">
        <w:rPr>
          <w:rFonts w:ascii="Calibri" w:hAnsi="Calibri" w:cs="Calibri"/>
        </w:rPr>
        <w:instrText xml:space="preserve"> ADDIN ZOTERO_ITEM CSL_CITATION {"citationID":"nofyCwrk","properties":{"formattedCitation":"{\\rtf \\super 3\\nosupersub{}}","plainCitation":"3"},"citationItems":[{"id":4184,"uris":["http://zotero.org/users/1354749/items/4RGXGI5W"],"uri":["http://zotero.org/users/1354749/items/4RGXGI5W"],"itemData":{"id":4184,"type":"article-journal","title":"2014 Evidence-Based Guideline for the Management of High Blood Pressure in Adults: Report From the Panel Members Appointed to the Eighth Joint National Committee (JNC 8)","container-title":"JAMA","page":"507-520","volume":"311","issue":"5","source":"jamanetwork.com","abstract":"In the report from the panel members appointed to the Eighth Joint National Committee (JNC 8), the guideline authors provide evidence-based recommendations for the management of hypertension including specific goals by age, race, and comorbidities.","DOI":"10.1001/jama.2013.284427","ISSN":"0098-7484","shortTitle":"2014 Evidence-Based Guideline for the Management of High Blood Pressure in Adults","journalAbbreviation":"JAMA","author":[{"family":"James","given":"Paul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3</w:t>
      </w:r>
      <w:r w:rsidRPr="0083135A">
        <w:rPr>
          <w:rFonts w:ascii="Calibri" w:hAnsi="Calibri" w:cs="Calibri"/>
        </w:rPr>
        <w:fldChar w:fldCharType="end"/>
      </w:r>
      <w:r w:rsidRPr="0083135A">
        <w:rPr>
          <w:rFonts w:ascii="Calibri" w:hAnsi="Calibri" w:cs="Calibri"/>
        </w:rPr>
        <w:t>. Retrospective observational studies and meta-analysis have suggested that initial combination hypertensive treatment confers decreased risk for cardiovascular events than monotherapy</w:t>
      </w:r>
      <w:r w:rsidRPr="0083135A">
        <w:rPr>
          <w:rFonts w:ascii="Calibri" w:hAnsi="Calibri" w:cs="Calibri"/>
        </w:rPr>
        <w:fldChar w:fldCharType="begin"/>
      </w:r>
      <w:r w:rsidRPr="0083135A">
        <w:rPr>
          <w:rFonts w:ascii="Calibri" w:hAnsi="Calibri" w:cs="Calibri"/>
        </w:rPr>
        <w:instrText xml:space="preserve"> ADDIN ZOTERO_ITEM CSL_CITATION {"citationID":"1scd2bsnps","properties":{"formattedCitation":"{\\rtf \\super 4\\uc0\\u8211{}7\\nosupersub{}}","plainCitation":"4–7"},"citationItems":[{"id":4247,"uris":["http://zotero.org/users/1354749/items/5QWAQNTM"],"uri":["http://zotero.org/users/1354749/items/5QWAQNTM"],"itemData":{"id":4247,"type":"article-journal","title":"Analysis of Recent Papers in Hypertension Initial Combination Therapy Provides More Prompt Blood Pressure Control and Reduces Cardiovascular Events But Remains Underutilized","container-title":"The Journal of Clinical Hypertension","page":"523-525","volume":"15","issue":"8","source":"Wiley Online Library","DOI":"10.1111/jch.12124","ISSN":"1751-7176","journalAbbreviation":"J Clin Hypertens","language":"en","author":[{"family":"Basile","given":"Jan N."},{"family":"Bloch","given":"Michael J."}],"issued":{"date-parts":[["2013",8,1]]}}},{"id":4191,"uris":["http://zotero.org/users/1354749/items/VCP7QIBZ"],"uri":["http://zotero.org/users/1354749/items/VCP7QIBZ"],"itemData":{"id":4191,"type":"article-journal","title":"High-dose calcium channel blocker (CCB) monotherapy vs combination therapy of standard-dose CCBs and angiotensin receptor blockers for hypertension: a meta-analysis","container-title":"Journal of Human Hypertension","source":"PubMed","abstract":"In this study, we evaluated the efficacy and safety of high-dose calcium channel blocker (CCB) monotherapy and standard-dose CCBs combined with angiotensin receptor blockers (ARBs) for patients with hypertension. A comprehensive search of PubMed, Embase and the Cochrane Central Register of Controlled Trials was performed in December 2015. Randomized controlled trials designed to identify the above goal were included. Thirteen trials including 2371 patients were identified. The standard-dose CCB/ARB combination resulted in a greater reduction of systolic blood pressure (WMD -2.52, 95% confidence interval (CI): -3.76 to -1.28) and diastolic blood pressure (weighted mean difference (WMD) -2.07, 95% CI: -3.73 to -0.42) compared to high-dose CCB monotherapy. The overall hypertension control rate for the CCB/ARB combination was higher than that for CCB monotherapy (relative risk (RR): 1.17, 95% CI: 1.08-1.26). Furthermore, the CCB/ARB combination treatment yielded significantly fewer overall adverse events (RR: 0.84, 95% CI: 0.74-0.95), oedema (RR: 0.31; 95% CI: 0.18-0.52) and rash (RR: 0.27, 95% CI: 0.08-0.96, P=0.04) than did CCB monotherapy. The standard-dose CCB/ARB combination is superior to high-dose CCB monotherapy for lowering blood pressure and reducing adverse events in hypertensive patients. Future research should focus on the cost-effectiveness and long-term effects of these two treatment strategies for patients with hypertension.Journal of Human Hypertension advance online publication, 11 August 2016; doi:10.1038/jhh.2016.46.","DOI":"10.1038/jhh.2016.46","ISSN":"1476-5527","note":"PMID: 27511478","shortTitle":"High-dose calcium channel blocker (CCB) monotherapy vs combination therapy of standard-dose CCBs and angiotensin receptor blockers for hypertension","journalAbbreviation":"J Hum Hypertens","language":"eng","author":[{"family":"He","given":"T."},{"family":"Liu","given":"X."},{"family":"Li","given":"Y."},{"family":"Liu","given":"X. Y."},{"family":"Wu","given":"Q. Y."},{"family":"Liu","given":"M. L."},{"family":"Yuan","given":"H."}],"issued":{"date-parts":[["2016",8,11]]},"PMID":"27511478"}},{"id":4243,"uris":["http://zotero.org/users/1354749/items/GE3MC5M2"],"uri":["http://zotero.org/users/1354749/items/GE3MC5M2"],"itemData":{"id":4243,"type":"article-journal","title":"Initial Combination Therapy Reduces the Risk of Cardiovascular Events in Hypertensive Patients","container-title":"Hypertension","page":"309-318","volume":"61","issue":"2","source":"hyper.ahajournals.org","abstract":"This study evaluated the effects of initial versus delayed treatment with a drug combination on blood pressure (BP) control and the risk of cardiovascular (CV) events in hypertensive patients. Clinical trials suggest that the time to BP control is an important determinant of long-term outcomes, but real-world evidence is scarce. Using electronic medical charts (2005–2009), we retrospectively analyzed 1762 adult patients with BP elevation initiating combination therapy matched 1:1 with similar patients initiating monotherapy and later switched to combination therapy. Incidence rate ratios of CV events (myocardial infarction, stroke/transient ischemic attack, or hospitalization for heart failure) or all-cause death and Kaplan-Meier analyses of time to BP control were compared between cohorts. Hazard ratios indicating the effects of initial treatment on CV events and BP control were estimated using time-varying Cox proportional hazard models. Initial combination therapy was associated with a significant reduction in the risk of CV events or death (incidence rate ratio, 0.66 [95% confidence interval, 0.52–0.84]; P=0.0008). After 6 months of therapy, 40.3% and 32.6% of patients with initial versus delayed combination treatment reached BP control, respectively. Achieving target BP was associated with a statistically significant risk reduction of 23% for CV events or death (hazard ratio, 0.77 [95% confidence interval, 0.61–0.96]; P=0.0223); the residual effect of initial combination therapy did not reach statistical significance (hazard ratio, 0.84 [95% confidence interval, 0.68–1.03]; P=0.0935). Initial combination therapy was associated with a significant risk reduction of cardiovascular events. More rapid achievement of target BP was found to be the main contributor to the estimated risk reduction.","DOI":"10.1161/HYPERTENSIONAHA.112.201566","ISSN":"0194-911X, 1524-4563","note":"PMID: 23184383","language":"en","author":[{"family":"Gradman","given":"Alan H."},{"family":"Parisé","given":"Hélène"},{"family":"Lefebvre","given":"Patrick"},{"family":"Falvey","given":"Heather"},{"family":"Lafeuille","given":"Marie-Hélène"},{"family":"Duh","given":"Mei Sheng"}],"issued":{"date-parts":[["2013",2,1]]},"PMID":"23184383"}},{"id":148,"uris":["http://zotero.org/users/1354749/items/56BWRJSV"],"uri":["http://zotero.org/users/1354749/items/56BWRJSV"],"itemData":{"id":148,"type":"article-journal","title":"Initial Monotherapy and Combination Therapy and Hypertension Control the First Year","container-title":"Hypertension","page":"1124-1131","volume":"59","issue":"6","source":"hyper.ahajournals.org","abstract":"Initial antihypertensive therapy with single-pill combinations produced more rapid blood pressure control than initial monotherapy in clinical trials. Other studies reported better cardiovascular outcomes in patients achieving lower blood pressure during the first treatment year. We assessed the effectiveness of initial antihypertensive monotherapy, free combinations, and single-pill combinations in controlling untreated, uncontrolled hypertensives during their first treatment year. Electronic record data were obtained from 180 practice sites; 106 621 hypertensive patients seen from January 2004 to June 2009 had uncontrolled blood pressure, were untreated for ≥6 months before therapy, and had ≥1 one-year follow-up blood pressure data. Control was determined by the first follow-up visit with blood pressure &lt;140/&lt;90 mm Hg for patients without diabetes mellitus or chronic kidney disease and &lt;130/&lt;80 mm Hg for patients with either or both conditions. Multivariable hazards regression ratios (HRs) and 95% CIs for time to control were calculated, adjusting for age, sex, baseline blood pressure, body mass index, diabetes mellitus, chronic kidney disease, cardiovascular disease, initial therapy, final blood pressure medication number, and therapeutic inertia. Patients on initial single-pill combinations (N=9194) were more likely to have stage 2 hypertension than those on free combinations (N=18 328) or monotherapy (N=79 099; all P&lt;0.001). Initial therapy with single-pill combinations (HR, 1.53 [95% CI, 1.47–1.58]) provided better hypertension control in the first year than free combinations (HR, 1.34; [95% CI, 1.31–1.37]) or monotherapy (reference) with benefits in black and white patients. Greater use of single-pill combinations as initial therapy may improve hypertension control and cardiovascular outcomes in the first treatment year.","DOI":"10.1161/HYPERTENSIONAHA.112.194167","ISSN":"0194-911X, 1524-4563","note":"PMID: 22566499","journalAbbreviation":"Hypertension","language":"en","author":[{"family":"Egan","given":"Brent M."},{"family":"Bandyopadhyay","given":"Dipankar"},{"family":"Shaftman","given":"Stephanie R."},{"family":"Wagner","given":"C. Shaun"},{"family":"Zhao","given":"Yumin"},{"family":"Yu-Isenberg","given":"Kristina S."}],"issued":{"date-parts":[["2012",6,1]]},"PMID":"22566499"}}],"schema":"https://github.com/citation-style-language/schema/raw/master/csl-citation.json"}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4–7</w:t>
      </w:r>
      <w:r w:rsidRPr="0083135A">
        <w:rPr>
          <w:rFonts w:ascii="Calibri" w:hAnsi="Calibri" w:cs="Calibri"/>
        </w:rPr>
        <w:fldChar w:fldCharType="end"/>
      </w:r>
      <w:r w:rsidRPr="0083135A">
        <w:rPr>
          <w:rFonts w:ascii="Calibri" w:hAnsi="Calibri" w:cs="Calibri"/>
        </w:rPr>
        <w:t>. Only a few randomized clinical trials, however, have directly compared the effects of different regimens of combination</w:t>
      </w:r>
      <w:r w:rsidRPr="0083135A">
        <w:rPr>
          <w:rFonts w:ascii="Calibri" w:hAnsi="Calibri" w:cs="Calibri"/>
        </w:rPr>
        <w:fldChar w:fldCharType="begin"/>
      </w:r>
      <w:r w:rsidRPr="0083135A">
        <w:rPr>
          <w:rFonts w:ascii="Calibri" w:hAnsi="Calibri" w:cs="Calibri"/>
        </w:rPr>
        <w:instrText xml:space="preserve"> ADDIN ZOTERO_ITEM CSL_CITATION {"citationID":"81afd8zY","properties":{"formattedCitation":"{\\rtf \\super 8\\uc0\\u8211{}11\\nosupersub{}}","plainCitation":"8–11"},"citationItems":[{"id":257,"uris":["http://zotero.org/users/1354749/items/7JHUZD3V"],"uri":["http://zotero.org/users/1354749/items/7JHUZD3V"],"itemData":{"id":257,"type":"article-journal","title":"Benazepril plus Amlodipine or Hydrochlorothiazide for Hypertension in High-Risk Patients","container-title":"New England Journal of Medicine","page":"2417-2428","volume":"359","issue":"23","source":"Taylor and Francis+NEJM","abstract":"There is incomplete evidence that the cardiovascular benefits of specific classes of antihypertensive drugs extend beyond lowering blood pressure.1 A review of clinical trials involving patients with hypertension who were at high risk for cardiovascular events showed that treatment with multiple antihypertensive medications was often necessary to attain blood-pressure goals recommended by guidelines.2,3 In previous trials designed to test single agents, other drugs were often added for blood-pressure control, thus confounding the interpretation of the effects of the initial drug on the study end points. Initial therapy for hypertension with a combination of drugs is recommended by both the . . .","DOI":"10.1056/NEJMoa0806182","ISSN":"0028-4793","note":"PMID: 19052124","author":[{"family":"Jamerson","given":"Kenneth"},{"family":"Weber","given":"Michael A."},{"family":"Bakris","given":"George L."},{"family":"Dahlöf","given":"Björn"},{"family":"Pitt","given":"Bertram"},{"family":"Shi","given":"Victor"},{"family":"Hester","given":"Allen"},{"family":"Gupte","given":"Jitendra"},{"family":"Gatlin","given":"Marjorie"},{"family":"Velazquez","given":"Eric J."}],"issued":{"date-parts":[["2008",12,4]]},"PMID":"19052124"}},{"id":968,"uris":["http://zotero.org/users/1354749/items/N4QEXBZM"],"uri":["http://zotero.org/users/1354749/items/N4QEXBZM"],"itemData":{"id":968,"type":"article-journal","title":"Combinations of olmesartan and a calcium channel blocker or a diuretic in elderly hypertensive patients: a randomized, controlled trial1","container-title":"Journal of Hypertension","page":"2054-2063","volume":"32","issue":"10","source":"PubMed Central","abstract":"Objective:\nThe aim of the present study was to compare the cardiovascular effects of olmesartan, an angiotensin II receptor blocker, combined with a calcium channel blocker (CCB) or a diuretic, in a prospective, randomized, open-label, blinded endpoint trial.\n\nMethods:\nJapanese hypertensive patients aged at least 65 to less than 85 years with SBP at least 140</w:instrText>
      </w:r>
      <w:r w:rsidRPr="0083135A">
        <w:rPr>
          <w:rFonts w:ascii="Calibri" w:eastAsia="MS Gothic" w:hAnsi="Calibri" w:cs="Calibri"/>
        </w:rPr>
        <w:instrText> </w:instrText>
      </w:r>
      <w:r w:rsidRPr="0083135A">
        <w:rPr>
          <w:rFonts w:ascii="Calibri" w:hAnsi="Calibri" w:cs="Calibri"/>
        </w:rPr>
        <w:instrText>mmHg and/or DBP at least 90</w:instrText>
      </w:r>
      <w:r w:rsidRPr="0083135A">
        <w:rPr>
          <w:rFonts w:ascii="Calibri" w:eastAsia="MS Gothic" w:hAnsi="Calibri" w:cs="Calibri"/>
        </w:rPr>
        <w:instrText> </w:instrText>
      </w:r>
      <w:r w:rsidRPr="0083135A">
        <w:rPr>
          <w:rFonts w:ascii="Calibri" w:hAnsi="Calibri" w:cs="Calibri"/>
        </w:rPr>
        <w:instrText>mmHg with antihypertensive treatment, or SBP at least 160</w:instrText>
      </w:r>
      <w:r w:rsidRPr="0083135A">
        <w:rPr>
          <w:rFonts w:ascii="Calibri" w:eastAsia="MS Gothic" w:hAnsi="Calibri" w:cs="Calibri"/>
        </w:rPr>
        <w:instrText> </w:instrText>
      </w:r>
      <w:r w:rsidRPr="0083135A">
        <w:rPr>
          <w:rFonts w:ascii="Calibri" w:hAnsi="Calibri" w:cs="Calibri"/>
        </w:rPr>
        <w:instrText>mmHg and/or DBP at least 100</w:instrText>
      </w:r>
      <w:r w:rsidRPr="0083135A">
        <w:rPr>
          <w:rFonts w:ascii="Calibri" w:eastAsia="MS Gothic" w:hAnsi="Calibri" w:cs="Calibri"/>
        </w:rPr>
        <w:instrText> </w:instrText>
      </w:r>
      <w:r w:rsidRPr="0083135A">
        <w:rPr>
          <w:rFonts w:ascii="Calibri" w:hAnsi="Calibri" w:cs="Calibri"/>
        </w:rPr>
        <w:instrText>mmHg without antihypertensive treatment were randomized to receive olmesartan with either a dihydropyridine CCB or a low-dose diuretic. If SBP and/or DBP remained at least 140 and/or at least 90</w:instrText>
      </w:r>
      <w:r w:rsidRPr="0083135A">
        <w:rPr>
          <w:rFonts w:ascii="Calibri" w:eastAsia="MS Gothic" w:hAnsi="Calibri" w:cs="Calibri"/>
        </w:rPr>
        <w:instrText> </w:instrText>
      </w:r>
      <w:r w:rsidRPr="0083135A">
        <w:rPr>
          <w:rFonts w:ascii="Calibri" w:hAnsi="Calibri" w:cs="Calibri"/>
        </w:rPr>
        <w:instrText>mmHg, the other antihypertensive drug was added. The primary endpoint was a composite of fatal and nonfatal cardiovascular events. The median follow-up time was 3.3 years.\n\nResults:\nBlood pressure decreased similarly in both groups. The primary endpoint occurred in 116/2568 patients (4.5%) in the olmesartan plus CCB group and in 135/2573 patients (5.3%) in the olmesartan plus diuretic group [hazard ratio 0.83, 95% confidence interval (CI) 0.65–1.07,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0.16]. Rates of all-cause death and cardiovascular deaths were similar. Among patients aged at least 75 years, the incidence of stroke tended to be lower in the olmesartan plus CCB group than in the olmesartan plus diuretic group (hazard ratio 0.63, 95% CI 0.38–1.02,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0.059, interaction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0.019). Fewer patients in the olmesartan plus CCB group (8.2%, 211/2568) than in the olmesartan plus diuretic group (9.8%, 253/2573; P</w:instrText>
      </w:r>
      <w:r w:rsidRPr="0083135A">
        <w:rPr>
          <w:rFonts w:ascii="Calibri" w:eastAsia="MS Gothic" w:hAnsi="Calibri" w:cs="Calibri"/>
        </w:rPr>
        <w:instrText> </w:instrText>
      </w:r>
      <w:r w:rsidRPr="0083135A">
        <w:rPr>
          <w:rFonts w:ascii="Calibri" w:hAnsi="Calibri" w:cs="Calibri"/>
        </w:rPr>
        <w:instrText>=</w:instrText>
      </w:r>
      <w:r w:rsidRPr="0083135A">
        <w:rPr>
          <w:rFonts w:ascii="Calibri" w:eastAsia="MS Gothic" w:hAnsi="Calibri" w:cs="Calibri"/>
        </w:rPr>
        <w:instrText> </w:instrText>
      </w:r>
      <w:r w:rsidRPr="0083135A">
        <w:rPr>
          <w:rFonts w:ascii="Calibri" w:hAnsi="Calibri" w:cs="Calibri"/>
        </w:rPr>
        <w:instrText>0.046) experienced serious adverse events.\n\nConclusion:\nDespite no significant difference in cardiovascular events, the different safety profiles suggest that the combination of olmesartan and CCB may be preferable to that of olmesartan and diuretic.","DOI":"10.1097/HJH.0000000000000281","ISSN":"0263-6352","note":"PMID: 24999799\nPMCID: PMC4166009","shortTitle":"Combinations of olmesartan and a calcium channel blocker or a diuretic in elderly hypertensive patients","journalAbbreviation":"J Hypertens","author":[{"family":"Ogihara","given":"Toshio"},{"family":"Saruta","given":"Takao"},{"family":"Rakugi","given":"Hiromi"},{"family":"Saito","given":"Ikuo"},{"family":"Shimamoto","given":"Kazuaki"},{"family":"Matsuoka","given":"Hiroaki"},{"family":"Shimada","given":"Kazuyuki"},{"family":"Ito","given":"Sadayoshi"},{"family":"Horiuchi","given":"Masatsugu"},{"family":"Imaizumi","given":"Tsutomu"},{"family":"Takishita","given":"Shuichi"},{"family":"Higaki","given":"Jitsuo"},{"family":"Katayama","given":"Shigehiro"},{"family":"Kimura","given":"Genjiroh"},{"family":"Umemura","given":"Satoshi"},{"family":"Ura","given":"Nobuyuki"},{"family":"Hayashi","given":"Koichi"},{"family":"Odawara","given":"Masato"},{"family":"Tanahashi","given":"Norio"},{"family":"Ishimitsu","given":"Toshihiko"},{"family":"Kashihara","given":"Naoki"},{"family":"Morita","given":"Satoshi"},{"family":"Teramukai","given":"Satoshi"}],"issued":{"date-parts":[["2014",10]]},"PMID":"24999799","PMCID":"PMC4166009"}},{"id":4263,"uris":["http://zotero.org/users/1354749/items/Z2QSHGB6"],"uri":["http://zotero.org/users/1354749/items/Z2QSHGB6"],"itemData":{"id":4263,"type":"article-journal","title":"A Calcium Antagonist vs a Non–Calcium Antagonist Hypertension Treatment Strategy for Patients With Coronary Artery Disease: The International Verapamil-Trandolapril Study (INVEST): A Randomized Controlled Trial","container-title":"JAMA","page":"2805-2816","volume":"290","issue":"21","source":"jamanetwork.com","abstract":"Context Despite evidence of efficacy of antihypertensive agents in treating\nhypertensive patients, safety and efficacy of antihypertensive agents for\ncoronary artery disease (CAD) have been discerned only from subgroup analyses\nin large trials.Objective To compare mortality and morbidity outcomes...","DOI":"10.1001/jama.290.21.2805","ISSN":"0098-7484","shortTitle":"A Calcium Antagonist vs a Non–Calcium Antagonist Hypertension Treatment Strategy for Patients With Coronary Artery Disease","journalAbbreviation":"JAMA","author":[{"family":"Pepine","given":"Carl J."},{"family":"Handberg","given":"Eileen M."},{"family":"Cooper-DeHoff","given":"Rhonda M."},{"family":"Marks","given":"Ronald G."},{"family":"Kowey","given":"Peter"},{"family":"Messerli","given":"Franz H."},{"family":"Mancia","given":"Giuseppe"},{"family":"Cangiano","given":"José L."},{"family":"Garcia-Barreto","given":"David"},{"family":"Keltai","given":"Matyas"},{"family":"Erdine","given":"Serap"},{"family":"Bristol","given":"Heather A."},{"family":"Kolb","given":"H. Robert"},{"family":"Bakris","given":"George L."},{"family":"Cohen","given":"Jerome D."},{"family":"Parmley","given":"William W."},{"family":"Investigators","given":"for the INVEST"}],"issued":{"date-parts":[["2003",12,3]]}}},{"id":4271,"uris":["http://zotero.org/users/1354749/items/DRTZM7AS"],"uri":["http://zotero.org/users/1354749/items/DRTZM7AS"],"itemData":{"id":4271,"type":"article-journal","title":"Prevention of cardiovascular events with an antihypertensive regimen of amlodipine adding perindopril as required versus atenolol adding bendroflumethiazide as required, in the Anglo-Scandinavian Cardiac Outcomes Trial-Blood Pressure Lowering Arm (ASCOT-BPLA): a multicentre randomised controlled trial","container-title":"The Lancet","page":"895-906","volume":"366","issue":"9489","source":"ScienceDirect","abstract":"SummaryBackground\nThe apparent shortfall in prevention of coronary heart disease (CHD) noted in early hypertension trials has been attributed to disadvantages of the diuretics and β blockers used. For a given reduction in blood pressure, some suggested that newer agents would confer advantages over diuretics and β blockers. Our aim, therefore, was to compare the effect on non-fatal myocardial infarction and fatal CHD of combinations of atenolol with a thiazide versus amlodipine with perindopril.\nMethods\nWe did a multicentre, prospective, randomised controlled trial in 19</w:instrText>
      </w:r>
      <w:r w:rsidRPr="0083135A">
        <w:rPr>
          <w:rFonts w:ascii="Calibri" w:eastAsia="MS Gothic" w:hAnsi="Calibri" w:cs="Calibri"/>
        </w:rPr>
        <w:instrText> </w:instrText>
      </w:r>
      <w:r w:rsidRPr="0083135A">
        <w:rPr>
          <w:rFonts w:ascii="Calibri" w:hAnsi="Calibri" w:cs="Calibri"/>
        </w:rPr>
        <w:instrText>257 patients with hypertension who were aged 40</w:instrText>
      </w:r>
      <w:r w:rsidRPr="0083135A">
        <w:rPr>
          <w:rFonts w:ascii="Calibri" w:eastAsia="맑은 고딕" w:hAnsi="Calibri" w:cs="Calibri"/>
        </w:rPr>
        <w:instrText>–</w:instrText>
      </w:r>
      <w:r w:rsidRPr="0083135A">
        <w:rPr>
          <w:rFonts w:ascii="Calibri" w:hAnsi="Calibri" w:cs="Calibri"/>
        </w:rPr>
        <w:instrText>79 years and had at least three other cardiovascular risk factors. Patients were assigned either amlodipine 5–10 mg adding perindopril 4–8 mg as required (amlodipine-based regimen; n=9639) or atenolol 50–100 mg adding bendroflumethiazide 1·25–2·5 mg and potassium as required (atenolol-based regimen; n=9618). Our primary endpoint was non-fatal myocardial infarction (including silent myocardial infaction) and fatal CHD. Analysis was by intention to treat.\nFindings\nThe study was stopped prematurely after 5·5 years' median follow-up and accumulated in total 106</w:instrText>
      </w:r>
      <w:r w:rsidRPr="0083135A">
        <w:rPr>
          <w:rFonts w:ascii="Calibri" w:eastAsia="MS Gothic" w:hAnsi="Calibri" w:cs="Calibri"/>
        </w:rPr>
        <w:instrText> </w:instrText>
      </w:r>
      <w:r w:rsidRPr="0083135A">
        <w:rPr>
          <w:rFonts w:ascii="Calibri" w:hAnsi="Calibri" w:cs="Calibri"/>
        </w:rPr>
        <w:instrText>153 patient-years of observation. Though not significant, compared with the atenolol-based regimen, fewer individuals on the amlodipine-based regimen had a primary endpoint (429 vs 474; unadjusted HR 0</w:instrText>
      </w:r>
      <w:r w:rsidRPr="0083135A">
        <w:rPr>
          <w:rFonts w:ascii="Calibri" w:eastAsia="맑은 고딕" w:hAnsi="Calibri" w:cs="Calibri"/>
        </w:rPr>
        <w:instrText>·</w:instrText>
      </w:r>
      <w:r w:rsidRPr="0083135A">
        <w:rPr>
          <w:rFonts w:ascii="Calibri" w:hAnsi="Calibri" w:cs="Calibri"/>
        </w:rPr>
        <w:instrText>90, 95% CI 0</w:instrText>
      </w:r>
      <w:r w:rsidRPr="0083135A">
        <w:rPr>
          <w:rFonts w:ascii="Calibri" w:eastAsia="맑은 고딕" w:hAnsi="Calibri" w:cs="Calibri"/>
        </w:rPr>
        <w:instrText>·</w:instrText>
      </w:r>
      <w:r w:rsidRPr="0083135A">
        <w:rPr>
          <w:rFonts w:ascii="Calibri" w:hAnsi="Calibri" w:cs="Calibri"/>
        </w:rPr>
        <w:instrText>79</w:instrText>
      </w:r>
      <w:r w:rsidRPr="0083135A">
        <w:rPr>
          <w:rFonts w:ascii="Calibri" w:eastAsia="맑은 고딕" w:hAnsi="Calibri" w:cs="Calibri"/>
        </w:rPr>
        <w:instrText>–</w:instrText>
      </w:r>
      <w:r w:rsidRPr="0083135A">
        <w:rPr>
          <w:rFonts w:ascii="Calibri" w:hAnsi="Calibri" w:cs="Calibri"/>
        </w:rPr>
        <w:instrText>1</w:instrText>
      </w:r>
      <w:r w:rsidRPr="0083135A">
        <w:rPr>
          <w:rFonts w:ascii="Calibri" w:eastAsia="맑은 고딕" w:hAnsi="Calibri" w:cs="Calibri"/>
        </w:rPr>
        <w:instrText>·</w:instrText>
      </w:r>
      <w:r w:rsidRPr="0083135A">
        <w:rPr>
          <w:rFonts w:ascii="Calibri" w:hAnsi="Calibri" w:cs="Calibri"/>
        </w:rPr>
        <w:instrText>02, p=0</w:instrText>
      </w:r>
      <w:r w:rsidRPr="0083135A">
        <w:rPr>
          <w:rFonts w:ascii="Calibri" w:eastAsia="맑은 고딕" w:hAnsi="Calibri" w:cs="Calibri"/>
        </w:rPr>
        <w:instrText>·</w:instrText>
      </w:r>
      <w:r w:rsidRPr="0083135A">
        <w:rPr>
          <w:rFonts w:ascii="Calibri" w:hAnsi="Calibri" w:cs="Calibri"/>
        </w:rPr>
        <w:instrText xml:space="preserve">1052), fatal and non-fatal stroke (327 vs 422; 0·77, 0·66–0·89, p=0·0003), total cardiovascular events and procedures (1362 vs 1602; 0·84, 0·78–0·90, p&amp;lt;0·0001), and all-cause mortality (738 vs 820; 0·89, 0·81–0·99, p=0·025). The incidence of developing diabetes was less on the amlodipine-based regimen (567 vs 799; 0·70, 0·63–0·78, p&amp;lt;0·0001).\nInterpretation\nThe amlodipine-based regimen prevented more major cardiovascular events and induced less diabetes than the atenolol-based regimen. On the basis of previous trial evidence, these effects might not be entirely explained by better control of blood pressure, and this issue is addressed in the accompanying article. Nevertheless, the results have implications with respect to optimum combinations of antihypertensive agents.","DOI":"10.1016/S0140-6736(05)67185-1","ISSN":"0140-6736","shortTitle":"Prevention of cardiovascular events with an antihypertensive regimen of amlodipine adding perindopril as required versus atenolol adding bendroflumethiazide as required, in the Anglo-Scandinavian Cardiac Outcomes Trial-Blood Pressure Lowering Arm (ASCOT-BPLA)","journalAbbreviation":"The Lancet","author":[{"family":"Dahlöf","given":"Björn"},{"family":"Sever","given":"Peter S"},{"family":"Poulter","given":"Neil R"},{"family":"Wedel","given":"Hans"},{"family":"Beevers","given":"D Gareth"},{"family":"Caulfield","given":"Mark"},{"family":"Collins","given":"Rory"},{"family":"Kjeldsen","given":"Sverre E"},{"family":"Kristinsson","given":"Arni"},{"family":"McInnes","given":"Gordon T"},{"family":"Mehlsen","given":"Jesper"},{"family":"Nieminen","given":"Markku"},{"family":"O'Brien","given":"Eoin"},{"family":"Östergren","given":"Jan"}],"issued":{"date-parts":[["2005",9,16]]}}}],"schema":"https://github.com/citation-style-language/schema/raw/master/csl-citation.json"} </w:instrText>
      </w:r>
      <w:r w:rsidRPr="0083135A">
        <w:rPr>
          <w:rFonts w:ascii="Calibri" w:hAnsi="Calibri" w:cs="Calibri"/>
        </w:rPr>
        <w:fldChar w:fldCharType="separate"/>
      </w:r>
      <w:r w:rsidRPr="0083135A">
        <w:rPr>
          <w:rFonts w:ascii="Calibri" w:eastAsia="맑은 고딕" w:hAnsi="Calibri" w:cs="Calibri"/>
          <w:szCs w:val="24"/>
          <w:vertAlign w:val="superscript"/>
        </w:rPr>
        <w:t>8–11</w:t>
      </w:r>
      <w:r w:rsidRPr="0083135A">
        <w:rPr>
          <w:rFonts w:ascii="Calibri" w:hAnsi="Calibri" w:cs="Calibri"/>
        </w:rPr>
        <w:fldChar w:fldCharType="end"/>
      </w:r>
      <w:r w:rsidRPr="0083135A">
        <w:rPr>
          <w:rFonts w:ascii="Calibri" w:hAnsi="Calibri" w:cs="Calibri"/>
        </w:rPr>
        <w:t xml:space="preserve">. In addition to limited number of evidences from head-to-head comparison, baseline high risk for cardiovascular outcome and previous history of anti-hypertensive medication of participants also make the findings from RCTs difficult to apply to clinical practice. To the best of our knowledge, real-world comparative effectiveness research comparing the various regimens of combination treatment in patients with essential hypertension has not been conducted until now. </w:t>
      </w:r>
    </w:p>
    <w:p w14:paraId="596883E2" w14:textId="77777777" w:rsidR="00C84B89" w:rsidRDefault="0009249C" w:rsidP="0007323D">
      <w:pPr>
        <w:pStyle w:val="1"/>
      </w:pPr>
      <w:bookmarkStart w:id="4" w:name="_Toc470944206"/>
      <w:r>
        <w:t>Research Questions and Objectives</w:t>
      </w:r>
      <w:bookmarkEnd w:id="4"/>
    </w:p>
    <w:p w14:paraId="19985B9B" w14:textId="77777777" w:rsidR="00354C2C" w:rsidRDefault="00354C2C" w:rsidP="00354C2C">
      <w:pPr>
        <w:pStyle w:val="2"/>
      </w:pPr>
      <w:bookmarkStart w:id="5" w:name="_Toc470944207"/>
      <w:r>
        <w:t>Research Question</w:t>
      </w:r>
      <w:r w:rsidR="0009249C">
        <w:t>s</w:t>
      </w:r>
      <w:bookmarkEnd w:id="5"/>
    </w:p>
    <w:p w14:paraId="5AFF7529" w14:textId="77777777" w:rsidR="00A201D8" w:rsidRDefault="00A201D8" w:rsidP="00A201D8">
      <w:pPr>
        <w:rPr>
          <w:lang w:eastAsia="ko-KR"/>
        </w:rPr>
      </w:pPr>
    </w:p>
    <w:p w14:paraId="1439CADB" w14:textId="16F0156A" w:rsidR="00CF681F" w:rsidRDefault="00CF681F" w:rsidP="00A201D8">
      <w:pPr>
        <w:rPr>
          <w:rFonts w:ascii="Calibri" w:hAnsi="Calibri" w:cs="Calibri"/>
        </w:rPr>
      </w:pPr>
      <w:r>
        <w:rPr>
          <w:lang w:eastAsia="ko-KR"/>
        </w:rPr>
        <w:t>Growing evidence has supported the benefit of initial combination treatment for hypertension. It is well known that dual RAAS blocker-based combination is harmful. O</w:t>
      </w:r>
      <w:r w:rsidRPr="0083135A">
        <w:rPr>
          <w:rFonts w:ascii="Calibri" w:hAnsi="Calibri" w:cs="Calibri"/>
        </w:rPr>
        <w:t xml:space="preserve">nly a </w:t>
      </w:r>
      <w:r>
        <w:rPr>
          <w:rFonts w:ascii="Calibri" w:hAnsi="Calibri" w:cs="Calibri"/>
        </w:rPr>
        <w:t xml:space="preserve">few randomized clinical trials </w:t>
      </w:r>
      <w:r w:rsidRPr="0083135A">
        <w:rPr>
          <w:rFonts w:ascii="Calibri" w:hAnsi="Calibri" w:cs="Calibri"/>
        </w:rPr>
        <w:t>have directly compared the effects of different regimens of combination</w:t>
      </w:r>
      <w:r>
        <w:rPr>
          <w:rFonts w:ascii="Calibri" w:hAnsi="Calibri" w:cs="Calibri"/>
        </w:rPr>
        <w:t xml:space="preserve">. The results from these RCTs are not only conflicting with each other, they did not adopt new-user setting. </w:t>
      </w:r>
    </w:p>
    <w:p w14:paraId="3A7C1CE9" w14:textId="640FD209" w:rsidR="00CF681F" w:rsidRDefault="00CF681F" w:rsidP="00A201D8">
      <w:pPr>
        <w:rPr>
          <w:rFonts w:ascii="Calibri" w:hAnsi="Calibri" w:cs="Calibri"/>
        </w:rPr>
      </w:pPr>
      <w:r w:rsidRPr="00CF681F">
        <w:rPr>
          <w:rFonts w:ascii="Calibri" w:hAnsi="Calibri" w:cs="Calibri"/>
        </w:rPr>
        <w:t>We have scientific questions about the benefits and harms of each combination therapy for hypertension in a new user setting.</w:t>
      </w:r>
    </w:p>
    <w:p w14:paraId="29892FC1" w14:textId="77777777" w:rsidR="00CF681F" w:rsidRDefault="00CF681F" w:rsidP="00A201D8">
      <w:pPr>
        <w:rPr>
          <w:rFonts w:ascii="Calibri" w:hAnsi="Calibri" w:cs="Calibri"/>
        </w:rPr>
      </w:pPr>
    </w:p>
    <w:p w14:paraId="3341FDCD" w14:textId="577A0E0E" w:rsidR="0009249C" w:rsidRDefault="0009249C" w:rsidP="0009249C">
      <w:pPr>
        <w:pStyle w:val="2"/>
      </w:pPr>
      <w:bookmarkStart w:id="6" w:name="_Toc470944208"/>
      <w:r>
        <w:t>Objectives</w:t>
      </w:r>
      <w:bookmarkEnd w:id="6"/>
    </w:p>
    <w:p w14:paraId="7CE32721" w14:textId="77777777" w:rsidR="00F05D4D" w:rsidRPr="0083135A" w:rsidRDefault="00F05D4D" w:rsidP="00F05D4D">
      <w:pPr>
        <w:rPr>
          <w:rFonts w:ascii="Calibri" w:hAnsi="Calibri" w:cs="Calibri"/>
        </w:rPr>
      </w:pPr>
      <w:r w:rsidRPr="0083135A">
        <w:rPr>
          <w:rFonts w:ascii="Calibri" w:hAnsi="Calibri" w:cs="Calibri"/>
        </w:rPr>
        <w:t xml:space="preserve">The goal of this protocols is conducting comparative effectiveness research to establish evidences for optimal anti-hypertensive combination strategies among patients without cardiovascular outcome from various databases across world. </w:t>
      </w:r>
    </w:p>
    <w:p w14:paraId="15B4E385" w14:textId="77777777" w:rsidR="00354C2C" w:rsidRDefault="00354C2C" w:rsidP="00354C2C">
      <w:pPr>
        <w:pStyle w:val="1"/>
      </w:pPr>
      <w:bookmarkStart w:id="7" w:name="_Toc470944209"/>
      <w:r>
        <w:t>Research me</w:t>
      </w:r>
      <w:r w:rsidR="00106CBC">
        <w:t>t</w:t>
      </w:r>
      <w:r>
        <w:t>hods</w:t>
      </w:r>
      <w:bookmarkEnd w:id="7"/>
    </w:p>
    <w:p w14:paraId="57891139" w14:textId="77777777" w:rsidR="00354C2C" w:rsidRDefault="00647841" w:rsidP="00647841">
      <w:pPr>
        <w:pStyle w:val="2"/>
      </w:pPr>
      <w:bookmarkStart w:id="8" w:name="_Toc470944210"/>
      <w:r>
        <w:t xml:space="preserve">Study </w:t>
      </w:r>
      <w:r w:rsidR="00EF05FD">
        <w:t>D</w:t>
      </w:r>
      <w:r>
        <w:t>esign</w:t>
      </w:r>
      <w:bookmarkEnd w:id="8"/>
    </w:p>
    <w:p w14:paraId="4066A27B" w14:textId="77777777" w:rsidR="00FC47D9" w:rsidRPr="00FC47D9" w:rsidRDefault="00FC47D9" w:rsidP="00FC47D9">
      <w:pPr>
        <w:pStyle w:val="3"/>
      </w:pPr>
      <w:bookmarkStart w:id="9" w:name="_Toc470944211"/>
      <w:r>
        <w:t>Overview</w:t>
      </w:r>
      <w:bookmarkEnd w:id="9"/>
    </w:p>
    <w:p w14:paraId="3C741C4E" w14:textId="4E7535EC" w:rsidR="005766BB" w:rsidRDefault="001D2E89" w:rsidP="005766BB">
      <w:r w:rsidRPr="00CF681F">
        <w:t>This study will be a retrospective, observational, new-user cohort study</w:t>
      </w:r>
      <w:r w:rsidR="00F341F8" w:rsidRPr="00CF681F">
        <w:t xml:space="preserve">. </w:t>
      </w:r>
    </w:p>
    <w:p w14:paraId="01A27295" w14:textId="72BC723A" w:rsidR="00176A9A" w:rsidRPr="00CF681F" w:rsidRDefault="00176A9A" w:rsidP="005766BB">
      <w:r>
        <w:t xml:space="preserve">The treatment and comparator cohort will be patients initiating dual antihypertensive medications because of hypertension. Direct head-to-head comparison will be conducted for the major advance </w:t>
      </w:r>
      <w:proofErr w:type="spellStart"/>
      <w:r>
        <w:t>cardiocerebral</w:t>
      </w:r>
      <w:proofErr w:type="spellEnd"/>
      <w:r>
        <w:t xml:space="preserve"> events. Adjustment for baseline confounders will be done by propensity model. </w:t>
      </w:r>
    </w:p>
    <w:p w14:paraId="32A29479" w14:textId="77777777" w:rsidR="00FC47D9" w:rsidRDefault="00FA320A" w:rsidP="00961DED">
      <w:pPr>
        <w:pStyle w:val="3"/>
      </w:pPr>
      <w:bookmarkStart w:id="10" w:name="_Toc470944212"/>
      <w:r>
        <w:t xml:space="preserve">Study </w:t>
      </w:r>
      <w:r w:rsidR="00300ED7">
        <w:t>population</w:t>
      </w:r>
      <w:bookmarkEnd w:id="10"/>
    </w:p>
    <w:p w14:paraId="2139B962" w14:textId="41FA8AF1" w:rsidR="00F05D4D" w:rsidRDefault="00F05D4D" w:rsidP="00AE0213">
      <w:r>
        <w:t>Inclusion criteria</w:t>
      </w:r>
    </w:p>
    <w:p w14:paraId="591E47DA" w14:textId="45861578" w:rsidR="00F05D4D" w:rsidRDefault="00F05D4D" w:rsidP="00F05D4D">
      <w:pPr>
        <w:pStyle w:val="a8"/>
        <w:widowControl w:val="0"/>
        <w:numPr>
          <w:ilvl w:val="0"/>
          <w:numId w:val="12"/>
        </w:numPr>
        <w:wordWrap w:val="0"/>
        <w:autoSpaceDE w:val="0"/>
        <w:autoSpaceDN w:val="0"/>
        <w:spacing w:after="160" w:line="259" w:lineRule="auto"/>
        <w:jc w:val="both"/>
        <w:rPr>
          <w:rFonts w:ascii="Calibri" w:hAnsi="Calibri" w:cs="Calibri"/>
        </w:rPr>
      </w:pPr>
      <w:r w:rsidRPr="00F05D4D">
        <w:rPr>
          <w:rFonts w:ascii="Calibri" w:hAnsi="Calibri" w:cs="Calibri"/>
        </w:rPr>
        <w:t xml:space="preserve">Adults who initiated two anti-hypertensive drugs within 30 days </w:t>
      </w:r>
    </w:p>
    <w:p w14:paraId="7F778472" w14:textId="77777777" w:rsidR="00F05D4D" w:rsidRPr="0083135A"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Exposure to dual hypertensive medication m</w:t>
      </w:r>
      <w:r w:rsidRPr="0083135A">
        <w:rPr>
          <w:rFonts w:ascii="Calibri" w:hAnsi="Calibri" w:cs="Calibri"/>
        </w:rPr>
        <w:t>ore</w:t>
      </w:r>
      <w:r>
        <w:rPr>
          <w:rFonts w:ascii="Calibri" w:hAnsi="Calibri" w:cs="Calibri"/>
        </w:rPr>
        <w:t xml:space="preserve"> than 180 consecutive days </w:t>
      </w:r>
    </w:p>
    <w:p w14:paraId="1D207103" w14:textId="222501CB" w:rsidR="00F05D4D" w:rsidRDefault="00F05D4D" w:rsidP="00F05D4D">
      <w:pPr>
        <w:widowControl w:val="0"/>
        <w:numPr>
          <w:ilvl w:val="0"/>
          <w:numId w:val="12"/>
        </w:numPr>
        <w:wordWrap w:val="0"/>
        <w:autoSpaceDE w:val="0"/>
        <w:autoSpaceDN w:val="0"/>
        <w:spacing w:after="160" w:line="259" w:lineRule="auto"/>
        <w:jc w:val="both"/>
        <w:rPr>
          <w:rFonts w:ascii="Calibri" w:hAnsi="Calibri" w:cs="Calibri"/>
        </w:rPr>
      </w:pPr>
      <w:r>
        <w:rPr>
          <w:rFonts w:ascii="Calibri" w:hAnsi="Calibri" w:cs="Calibri"/>
        </w:rPr>
        <w:t>At least</w:t>
      </w:r>
      <w:r w:rsidRPr="0083135A">
        <w:rPr>
          <w:rFonts w:ascii="Calibri" w:hAnsi="Calibri" w:cs="Calibri"/>
        </w:rPr>
        <w:t xml:space="preserve"> 18</w:t>
      </w:r>
      <w:r>
        <w:rPr>
          <w:rFonts w:ascii="Calibri" w:hAnsi="Calibri" w:cs="Calibri"/>
        </w:rPr>
        <w:t>1</w:t>
      </w:r>
      <w:r w:rsidRPr="0083135A">
        <w:rPr>
          <w:rFonts w:ascii="Calibri" w:hAnsi="Calibri" w:cs="Calibri"/>
        </w:rPr>
        <w:t xml:space="preserve"> days of pre-observation period before initiating the drugs</w:t>
      </w:r>
    </w:p>
    <w:p w14:paraId="43F28173" w14:textId="1104ABAC" w:rsidR="00F05D4D" w:rsidRPr="00F05D4D" w:rsidRDefault="00F05D4D" w:rsidP="00F05D4D">
      <w:pPr>
        <w:widowControl w:val="0"/>
        <w:wordWrap w:val="0"/>
        <w:autoSpaceDE w:val="0"/>
        <w:autoSpaceDN w:val="0"/>
        <w:spacing w:after="160" w:line="259" w:lineRule="auto"/>
        <w:jc w:val="both"/>
        <w:rPr>
          <w:rFonts w:ascii="Calibri" w:hAnsi="Calibri" w:cs="Calibri"/>
          <w:lang w:eastAsia="ko-KR"/>
        </w:rPr>
      </w:pPr>
      <w:r>
        <w:rPr>
          <w:rFonts w:ascii="Calibri" w:hAnsi="Calibri" w:cs="Calibri" w:hint="eastAsia"/>
          <w:lang w:eastAsia="ko-KR"/>
        </w:rPr>
        <w:t>Exclusion criteria</w:t>
      </w:r>
    </w:p>
    <w:p w14:paraId="52E7DA16" w14:textId="77777777" w:rsidR="00F05D4D" w:rsidRPr="009A656B" w:rsidRDefault="00F05D4D" w:rsidP="00F05D4D">
      <w:pPr>
        <w:widowControl w:val="0"/>
        <w:numPr>
          <w:ilvl w:val="0"/>
          <w:numId w:val="13"/>
        </w:numPr>
        <w:wordWrap w:val="0"/>
        <w:autoSpaceDE w:val="0"/>
        <w:autoSpaceDN w:val="0"/>
        <w:spacing w:after="160" w:line="259" w:lineRule="auto"/>
        <w:jc w:val="both"/>
        <w:rPr>
          <w:rFonts w:ascii="Calibri" w:hAnsi="Calibri" w:cs="Calibri"/>
        </w:rPr>
      </w:pPr>
      <w:r w:rsidRPr="009A656B">
        <w:rPr>
          <w:rFonts w:ascii="Calibri" w:hAnsi="Calibri" w:cs="Calibri"/>
        </w:rPr>
        <w:t>Any diagnosis for ischemic heart disease, heart failure, stroke before or within 180 days after drug initiation</w:t>
      </w:r>
    </w:p>
    <w:p w14:paraId="43B10DB3" w14:textId="5FDF9360" w:rsidR="00F05D4D" w:rsidRPr="00F05D4D" w:rsidRDefault="00F05D4D" w:rsidP="00F05D4D">
      <w:pPr>
        <w:pStyle w:val="a8"/>
        <w:numPr>
          <w:ilvl w:val="0"/>
          <w:numId w:val="13"/>
        </w:numPr>
      </w:pPr>
      <w:r w:rsidRPr="009A656B">
        <w:rPr>
          <w:rFonts w:ascii="Calibri" w:hAnsi="Calibri" w:cs="Calibri"/>
        </w:rPr>
        <w:t>Death within 180 days after drug initiation</w:t>
      </w:r>
    </w:p>
    <w:p w14:paraId="1F25AB95" w14:textId="739C3CF4" w:rsidR="00F05D4D" w:rsidRDefault="00F05D4D" w:rsidP="00F05D4D">
      <w:pPr>
        <w:pStyle w:val="a8"/>
        <w:numPr>
          <w:ilvl w:val="0"/>
          <w:numId w:val="13"/>
        </w:numPr>
      </w:pPr>
      <w:r w:rsidRPr="009A656B">
        <w:rPr>
          <w:rFonts w:ascii="Calibri" w:hAnsi="Calibri" w:cs="Calibri"/>
        </w:rPr>
        <w:t>Use other anti-hypertensive drugs except the two before or within 180 days after drug initiation</w:t>
      </w:r>
    </w:p>
    <w:p w14:paraId="5CD11B93" w14:textId="6512B33A" w:rsidR="00F05D4D" w:rsidRDefault="00F05D4D" w:rsidP="00AE0213">
      <w:r>
        <w:t>Subgroup</w:t>
      </w:r>
      <w:r w:rsidR="00CF681F">
        <w:t>s</w:t>
      </w:r>
    </w:p>
    <w:p w14:paraId="20571B52" w14:textId="083157F0" w:rsidR="00F05D4D" w:rsidRDefault="00F05D4D" w:rsidP="00F05D4D">
      <w:pPr>
        <w:pStyle w:val="a8"/>
        <w:numPr>
          <w:ilvl w:val="0"/>
          <w:numId w:val="15"/>
        </w:numPr>
      </w:pPr>
      <w:r>
        <w:rPr>
          <w:rFonts w:hint="eastAsia"/>
          <w:lang w:eastAsia="ko-KR"/>
        </w:rPr>
        <w:t>Patients with diabetes mellitus (DM)</w:t>
      </w:r>
    </w:p>
    <w:p w14:paraId="680756BF" w14:textId="48AB9B79" w:rsidR="00F05D4D" w:rsidRDefault="00F05D4D" w:rsidP="00F05D4D">
      <w:pPr>
        <w:pStyle w:val="a8"/>
        <w:numPr>
          <w:ilvl w:val="0"/>
          <w:numId w:val="15"/>
        </w:numPr>
      </w:pPr>
      <w:r>
        <w:rPr>
          <w:lang w:eastAsia="ko-KR"/>
        </w:rPr>
        <w:t>Patients without DM</w:t>
      </w:r>
    </w:p>
    <w:p w14:paraId="7A784985" w14:textId="0F43039E" w:rsidR="00F05D4D" w:rsidRDefault="00F05D4D" w:rsidP="00F05D4D">
      <w:pPr>
        <w:pStyle w:val="a8"/>
        <w:numPr>
          <w:ilvl w:val="0"/>
          <w:numId w:val="15"/>
        </w:numPr>
      </w:pPr>
      <w:r>
        <w:rPr>
          <w:rFonts w:hint="eastAsia"/>
          <w:lang w:eastAsia="ko-KR"/>
        </w:rPr>
        <w:t>Patients with chronic kidney disease (CKD)</w:t>
      </w:r>
    </w:p>
    <w:p w14:paraId="18EE6D16" w14:textId="72A09F9F" w:rsidR="00F05D4D" w:rsidRDefault="00F05D4D" w:rsidP="00F05D4D">
      <w:pPr>
        <w:pStyle w:val="a8"/>
        <w:numPr>
          <w:ilvl w:val="0"/>
          <w:numId w:val="15"/>
        </w:numPr>
      </w:pPr>
      <w:r>
        <w:rPr>
          <w:lang w:eastAsia="ko-KR"/>
        </w:rPr>
        <w:t>Patient without CKD</w:t>
      </w:r>
    </w:p>
    <w:p w14:paraId="171891A6" w14:textId="4514F53C" w:rsidR="00F05D4D" w:rsidRDefault="00F05D4D" w:rsidP="00F05D4D">
      <w:pPr>
        <w:pStyle w:val="a8"/>
        <w:numPr>
          <w:ilvl w:val="0"/>
          <w:numId w:val="15"/>
        </w:numPr>
      </w:pPr>
      <w:r>
        <w:rPr>
          <w:lang w:eastAsia="ko-KR"/>
        </w:rPr>
        <w:t>Patients over 55</w:t>
      </w:r>
    </w:p>
    <w:p w14:paraId="5010D69D" w14:textId="633004BA" w:rsidR="00F05D4D" w:rsidRDefault="00F05D4D" w:rsidP="00F05D4D">
      <w:pPr>
        <w:pStyle w:val="a8"/>
        <w:numPr>
          <w:ilvl w:val="0"/>
          <w:numId w:val="15"/>
        </w:numPr>
      </w:pPr>
      <w:r>
        <w:rPr>
          <w:lang w:eastAsia="ko-KR"/>
        </w:rPr>
        <w:t>Patients under 55</w:t>
      </w:r>
    </w:p>
    <w:p w14:paraId="62014562" w14:textId="77777777" w:rsidR="00300ED7" w:rsidRPr="00300ED7" w:rsidRDefault="00300ED7" w:rsidP="00300ED7">
      <w:pPr>
        <w:pStyle w:val="3"/>
      </w:pPr>
      <w:bookmarkStart w:id="11" w:name="_Toc470944213"/>
      <w:r>
        <w:t>Additional analysis details</w:t>
      </w:r>
      <w:bookmarkEnd w:id="11"/>
    </w:p>
    <w:p w14:paraId="65CFABF9" w14:textId="77777777" w:rsidR="0071403A" w:rsidRPr="00431DA7" w:rsidRDefault="00A9089F" w:rsidP="0071403A">
      <w:r w:rsidRPr="00431DA7">
        <w:t>The propensity model will be fitted using a regularized logistic regression</w:t>
      </w:r>
      <w:r w:rsidR="001075FA" w:rsidRPr="00431DA7">
        <w:t xml:space="preserve"> with a </w:t>
      </w:r>
      <w:proofErr w:type="spellStart"/>
      <w:r w:rsidR="001075FA" w:rsidRPr="00431DA7">
        <w:t>LaPlace</w:t>
      </w:r>
      <w:proofErr w:type="spellEnd"/>
      <w:r w:rsidR="001075FA" w:rsidRPr="00431DA7">
        <w:t xml:space="preserve"> prior</w:t>
      </w:r>
      <w:r w:rsidRPr="00431DA7">
        <w:t xml:space="preserve">. The </w:t>
      </w:r>
      <w:r w:rsidR="00F610C6" w:rsidRPr="00431DA7">
        <w:t xml:space="preserve">regularization </w:t>
      </w:r>
      <w:proofErr w:type="spellStart"/>
      <w:r w:rsidRPr="00431DA7">
        <w:t>hyperparameter</w:t>
      </w:r>
      <w:proofErr w:type="spellEnd"/>
      <w:r w:rsidRPr="00431DA7">
        <w:t xml:space="preserve"> will be </w:t>
      </w:r>
      <w:r w:rsidR="001075FA" w:rsidRPr="00431DA7">
        <w:t xml:space="preserve">selected </w:t>
      </w:r>
      <w:r w:rsidR="001A4A28" w:rsidRPr="00431DA7">
        <w:t xml:space="preserve">by optimizing the likelihood in a </w:t>
      </w:r>
      <w:r w:rsidR="001075FA" w:rsidRPr="00431DA7">
        <w:t xml:space="preserve">10-fold cross-validation. </w:t>
      </w:r>
    </w:p>
    <w:p w14:paraId="6B055475" w14:textId="1BBF6057" w:rsidR="00BE73A5" w:rsidRPr="00431DA7" w:rsidRDefault="00BE73A5" w:rsidP="0071403A">
      <w:r w:rsidRPr="00431DA7">
        <w:t>Variable-ratio propensity score matching will be performed using greedy matching</w:t>
      </w:r>
      <w:r w:rsidR="00431DA7" w:rsidRPr="00431DA7">
        <w:fldChar w:fldCharType="begin"/>
      </w:r>
      <w:r w:rsidR="00431DA7" w:rsidRPr="00431DA7">
        <w:instrText xml:space="preserve"> ADDIN ZOTERO_ITEM CSL_CITATION {"citationID":"2gp532hg9r","properties":{"formattedCitation":"{\\rtf \\super 12\\nosupersub{}}","plainCitation":"12"},"citationItems":[{"id":4305,"uris":["http://zotero.org/users/1354749/items/F4BF5IV2"],"uri":["http://zotero.org/users/1354749/items/F4BF5IV2"],"itemData":{"id":4305,"type":"article-journal","title":"One-to-many propensity score matching in cohort studies","container-title":"Pharmacoepidemiology and Drug Safety","page":"69-80","volume":"21","source":"Wiley Online Library","abstract":"Background\n\nAmong the large number of cohort studies that employ propensity score matching, most match patients 1:1. Increasing the matching ratio is thought to improve precision but may come with a trade-off with respect to bias.\n\nObjective\n\nTo evaluate several methods of propensity score matching in cohort studies through simulation and empirical analyses.\n\nMethods\n\nWe simulated cohorts of 20 000 patients with exposure prevalence of 10%–50%. We simulated five dichotomous and five continuous confounders. We estimated propensity scores and matched using digit-based greedy (“greedy”), pairwise nearest neighbor within a caliper (“nearest neighbor”), and a nearest neighbor approach that sought to balance the scores of the comparison patient above and below that of the treated patient (“balanced nearest neighbor”). We matched at both fixed and variable matching ratios and also evaluated sequential and parallel schemes for the order of formation of 1:n match groups. We then applied this same approach to two cohorts of patients drawn from administrative claims data.\n\nResults\n\nIncreasing the match ratio beyond 1:1 generally resulted in somewhat higher bias. It also resulted in lower variance with variable ratio matching but higher variance with fixed. The parallel approach generally resulted in higher mean squared error but lower bias than the sequential approach. Variable ratio, parallel, balanced nearest neighbor matching generally yielded the lowest bias and mean squared error.\n\nConclusions\n\n1:n matching can be used to increase precision in cohort studies. We recommend a variable ratio, parallel, balanced 1:n, nearest neighbor approach that increases precision over 1:1 matching at a small cost in bias. Copyright © 2012 John Wiley &amp; Sons, Ltd.","DOI":"10.1002/pds.3263","ISSN":"1099-1557","journalAbbreviation":"Pharmacoepidemiol Drug Saf","language":"en","author":[{"family":"Rassen","given":"Jeremy A."},{"family":"Shelat","given":"Abhi A."},{"family":"Myers","given":"Jessica"},{"family":"Glynn","given":"Robert J."},{"family":"Rothman","given":"Kenneth J."},{"family":"Schneeweiss","given":"Sebastian"}],"issued":{"date-parts":[["2012",5,1]]}}}],"schema":"https://github.com/citation-style-language/schema/raw/master/csl-citation.json"} </w:instrText>
      </w:r>
      <w:r w:rsidR="00431DA7" w:rsidRPr="00431DA7">
        <w:fldChar w:fldCharType="separate"/>
      </w:r>
      <w:r w:rsidR="00431DA7" w:rsidRPr="00431DA7">
        <w:rPr>
          <w:rFonts w:ascii="Calibri" w:hAnsi="Calibri" w:cs="Calibri"/>
          <w:szCs w:val="24"/>
          <w:vertAlign w:val="superscript"/>
        </w:rPr>
        <w:t>12</w:t>
      </w:r>
      <w:r w:rsidR="00431DA7" w:rsidRPr="00431DA7">
        <w:fldChar w:fldCharType="end"/>
      </w:r>
      <w:r w:rsidR="009D4796" w:rsidRPr="00431DA7">
        <w:t>.</w:t>
      </w:r>
      <w:r w:rsidR="00EF3BDA" w:rsidRPr="00431DA7">
        <w:t xml:space="preserve"> A caliper of 0.25 </w:t>
      </w:r>
      <w:r w:rsidR="007F6A8B" w:rsidRPr="00431DA7">
        <w:t>times the standard deviation of the propensity score distribution</w:t>
      </w:r>
      <w:r w:rsidR="00912EC1" w:rsidRPr="00431DA7">
        <w:t xml:space="preserve"> will be used</w:t>
      </w:r>
      <w:r w:rsidR="007F6A8B" w:rsidRPr="00431DA7">
        <w:t>.</w:t>
      </w:r>
    </w:p>
    <w:p w14:paraId="46860703" w14:textId="77777777" w:rsidR="001075FA" w:rsidRPr="0071403A" w:rsidRDefault="001075FA" w:rsidP="0071403A">
      <w:r w:rsidRPr="00431DA7">
        <w:t xml:space="preserve">The outcome model will be fitted using a regularized conditional Cox regression with a </w:t>
      </w:r>
      <w:proofErr w:type="spellStart"/>
      <w:r w:rsidRPr="00431DA7">
        <w:t>LaPlace</w:t>
      </w:r>
      <w:proofErr w:type="spellEnd"/>
      <w:r w:rsidRPr="00431DA7">
        <w:t xml:space="preserve"> prior. The </w:t>
      </w:r>
      <w:r w:rsidR="00F610C6" w:rsidRPr="00431DA7">
        <w:t xml:space="preserve">regularization </w:t>
      </w:r>
      <w:proofErr w:type="spellStart"/>
      <w:r w:rsidRPr="00431DA7">
        <w:t>hyperparameter</w:t>
      </w:r>
      <w:proofErr w:type="spellEnd"/>
      <w:r w:rsidRPr="00431DA7">
        <w:t xml:space="preserve"> will be selected </w:t>
      </w:r>
      <w:r w:rsidR="001A4A28" w:rsidRPr="00431DA7">
        <w:t>be selected by optimizing the likelihood in a 10-fold cross-validation</w:t>
      </w:r>
      <w:r w:rsidRPr="00431DA7">
        <w:t xml:space="preserve">. </w:t>
      </w:r>
      <w:r w:rsidR="005D02C1" w:rsidRPr="00431DA7">
        <w:t>No regularization will be applied to the coefficient correspo</w:t>
      </w:r>
      <w:r w:rsidR="006B6A9A" w:rsidRPr="00431DA7">
        <w:t>nding to the treatment variable (</w:t>
      </w:r>
      <w:r w:rsidR="0045184F" w:rsidRPr="00431DA7">
        <w:t>i.e.</w:t>
      </w:r>
      <w:r w:rsidR="006B6A9A" w:rsidRPr="00431DA7">
        <w:t xml:space="preserve"> </w:t>
      </w:r>
      <w:r w:rsidR="00051302" w:rsidRPr="00431DA7">
        <w:t xml:space="preserve">those </w:t>
      </w:r>
      <w:r w:rsidR="006B6A9A" w:rsidRPr="00431DA7">
        <w:t>representing the hazard ratio of interest).</w:t>
      </w:r>
    </w:p>
    <w:p w14:paraId="1EC7D755" w14:textId="77777777" w:rsidR="00A431E4" w:rsidRPr="00A431E4" w:rsidRDefault="00CD4EAF" w:rsidP="00A431E4">
      <w:pPr>
        <w:pStyle w:val="3"/>
      </w:pPr>
      <w:bookmarkStart w:id="12" w:name="_Toc470944214"/>
      <w:r>
        <w:t>A</w:t>
      </w:r>
      <w:r w:rsidR="00A431E4">
        <w:t>nalysis variations</w:t>
      </w:r>
      <w:bookmarkEnd w:id="12"/>
    </w:p>
    <w:p w14:paraId="739C982A" w14:textId="77777777" w:rsidR="00FA320A" w:rsidRDefault="002610B2" w:rsidP="00FA320A">
      <w:r>
        <w:t>The following variations of the analysis will be performed:</w:t>
      </w:r>
    </w:p>
    <w:p w14:paraId="59867D9D" w14:textId="77777777" w:rsidR="00A65279" w:rsidRDefault="002610B2" w:rsidP="00FA320A">
      <w:r>
        <w:t xml:space="preserve">Primary analysis: </w:t>
      </w:r>
    </w:p>
    <w:p w14:paraId="178DE1B4" w14:textId="77777777" w:rsidR="002610B2" w:rsidRDefault="002610B2" w:rsidP="00876FB9">
      <w:pPr>
        <w:pStyle w:val="a8"/>
        <w:numPr>
          <w:ilvl w:val="0"/>
          <w:numId w:val="7"/>
        </w:numPr>
      </w:pPr>
      <w:r>
        <w:t>Using a PS model to match treated and comparator. The outcome model will be condition on the matched sets, and will include all covariates.</w:t>
      </w:r>
    </w:p>
    <w:p w14:paraId="4F1AC610" w14:textId="77777777" w:rsidR="00647841" w:rsidRDefault="00647841" w:rsidP="00647841">
      <w:pPr>
        <w:pStyle w:val="2"/>
      </w:pPr>
      <w:bookmarkStart w:id="13" w:name="_Toc470944215"/>
      <w:bookmarkStart w:id="14" w:name="_GoBack"/>
      <w:bookmarkEnd w:id="14"/>
      <w:r>
        <w:t>Variables</w:t>
      </w:r>
      <w:bookmarkEnd w:id="13"/>
    </w:p>
    <w:p w14:paraId="512D355E" w14:textId="77777777" w:rsidR="00647841" w:rsidRDefault="00647841" w:rsidP="00647841">
      <w:pPr>
        <w:pStyle w:val="3"/>
      </w:pPr>
      <w:bookmarkStart w:id="15" w:name="_Toc470944216"/>
      <w:r>
        <w:t>Exposures</w:t>
      </w:r>
      <w:bookmarkEnd w:id="15"/>
    </w:p>
    <w:p w14:paraId="4E654405" w14:textId="2BA518E5" w:rsidR="00EA5E71" w:rsidRDefault="00F05D4D" w:rsidP="00EA5E71">
      <w:pPr>
        <w:pStyle w:val="4"/>
        <w:numPr>
          <w:ilvl w:val="0"/>
          <w:numId w:val="0"/>
        </w:numPr>
      </w:pPr>
      <w:r>
        <w:t>Hypertensive medication</w:t>
      </w:r>
    </w:p>
    <w:p w14:paraId="78DE3076" w14:textId="35AD1A8D" w:rsidR="00F05D4D" w:rsidRDefault="00F05D4D" w:rsidP="00EA5E71">
      <w:r>
        <w:t>Hypertensive medication is classified into four classes:</w:t>
      </w:r>
    </w:p>
    <w:p w14:paraId="4CE0645F" w14:textId="4D45FF00" w:rsidR="00F05D4D" w:rsidRDefault="00F05D4D" w:rsidP="00EA5E71">
      <w:r>
        <w:t>R</w:t>
      </w:r>
      <w:r w:rsidR="00A57501">
        <w:t>A</w:t>
      </w:r>
      <w:r>
        <w:t>AS blocker (</w:t>
      </w:r>
      <w:proofErr w:type="spellStart"/>
      <w:r>
        <w:t>ACEi</w:t>
      </w:r>
      <w:proofErr w:type="spellEnd"/>
      <w:r>
        <w:t xml:space="preserve"> / ARB) as </w:t>
      </w:r>
      <w:r w:rsidRPr="00F05D4D">
        <w:rPr>
          <w:b/>
        </w:rPr>
        <w:t>A</w:t>
      </w:r>
      <w:r>
        <w:t xml:space="preserve">, beta-blocker as </w:t>
      </w:r>
      <w:r w:rsidRPr="00F05D4D">
        <w:rPr>
          <w:b/>
        </w:rPr>
        <w:t>B</w:t>
      </w:r>
      <w:r>
        <w:t xml:space="preserve">, calcium channel blocker as </w:t>
      </w:r>
      <w:r w:rsidRPr="00F05D4D">
        <w:rPr>
          <w:b/>
        </w:rPr>
        <w:t>C</w:t>
      </w:r>
      <w:r>
        <w:t xml:space="preserve">, thiazide-diuretics as </w:t>
      </w:r>
      <w:r w:rsidRPr="00F05D4D">
        <w:rPr>
          <w:b/>
        </w:rPr>
        <w:t>D</w:t>
      </w:r>
      <w:r>
        <w:t>.</w:t>
      </w:r>
    </w:p>
    <w:p w14:paraId="1DEF4ABC" w14:textId="3532CC8E" w:rsidR="00EA5E71" w:rsidRDefault="00EA5E71" w:rsidP="00EA5E71">
      <w:r>
        <w:t xml:space="preserve">Index rule defining the index date:  </w:t>
      </w:r>
    </w:p>
    <w:p w14:paraId="0012DCC0" w14:textId="3571C9E3" w:rsidR="00EA5E71" w:rsidRDefault="00EA5E71" w:rsidP="00EA5E71">
      <w:pPr>
        <w:pStyle w:val="a8"/>
        <w:numPr>
          <w:ilvl w:val="0"/>
          <w:numId w:val="9"/>
        </w:numPr>
      </w:pPr>
      <w:r>
        <w:t xml:space="preserve">First exposure to any </w:t>
      </w:r>
      <w:r w:rsidR="00431DA7">
        <w:t xml:space="preserve">two </w:t>
      </w:r>
      <w:r>
        <w:t>drug</w:t>
      </w:r>
      <w:r w:rsidR="00431DA7">
        <w:t>s</w:t>
      </w:r>
      <w:r>
        <w:t xml:space="preserve"> containing the </w:t>
      </w:r>
      <w:proofErr w:type="spellStart"/>
      <w:r>
        <w:t>RxNorm</w:t>
      </w:r>
      <w:proofErr w:type="spellEnd"/>
      <w:r>
        <w:t xml:space="preserve"> ingredient </w:t>
      </w:r>
      <w:r w:rsidR="00F05D4D">
        <w:t xml:space="preserve">of hypertensive </w:t>
      </w:r>
      <w:r w:rsidR="00431DA7">
        <w:t>medication more than 180 days (</w:t>
      </w:r>
      <w:proofErr w:type="spellStart"/>
      <w:r w:rsidR="00431DA7">
        <w:t>drug_era</w:t>
      </w:r>
      <w:proofErr w:type="spellEnd"/>
      <w:r w:rsidR="00431DA7">
        <w:t xml:space="preserve"> table)</w:t>
      </w:r>
    </w:p>
    <w:p w14:paraId="6EAB6C0B" w14:textId="77777777" w:rsidR="00EA5E71" w:rsidRDefault="00584545" w:rsidP="00584545">
      <w:r>
        <w:t>Inclusion rules based on the index date:</w:t>
      </w:r>
    </w:p>
    <w:p w14:paraId="415CC7FA" w14:textId="0372C052" w:rsidR="00EA5E71" w:rsidRPr="00431DA7" w:rsidRDefault="00EA5E71" w:rsidP="00EA5E71">
      <w:pPr>
        <w:pStyle w:val="a8"/>
        <w:numPr>
          <w:ilvl w:val="0"/>
          <w:numId w:val="9"/>
        </w:numPr>
      </w:pPr>
      <w:r w:rsidRPr="00431DA7">
        <w:t>At least 18</w:t>
      </w:r>
      <w:r w:rsidR="00431DA7" w:rsidRPr="00431DA7">
        <w:t>0</w:t>
      </w:r>
      <w:r w:rsidRPr="00431DA7">
        <w:t xml:space="preserve"> days of observation time prior to </w:t>
      </w:r>
      <w:r w:rsidR="00431DA7" w:rsidRPr="00431DA7">
        <w:t xml:space="preserve">and after </w:t>
      </w:r>
      <w:r w:rsidRPr="00431DA7">
        <w:t>the index date</w:t>
      </w:r>
    </w:p>
    <w:p w14:paraId="6448C8F4" w14:textId="42F137B9" w:rsidR="00431DA7" w:rsidRPr="00431DA7" w:rsidRDefault="00431DA7" w:rsidP="00EA5E71">
      <w:pPr>
        <w:pStyle w:val="a8"/>
        <w:numPr>
          <w:ilvl w:val="0"/>
          <w:numId w:val="9"/>
        </w:numPr>
      </w:pPr>
      <w:r w:rsidRPr="00431DA7">
        <w:rPr>
          <w:lang w:eastAsia="ko-KR"/>
        </w:rPr>
        <w:t>Diagnosed as hypertension within 365 days before or 30days the index day</w:t>
      </w:r>
    </w:p>
    <w:p w14:paraId="1F708B2D" w14:textId="440B7578" w:rsidR="00EA5E71" w:rsidRPr="00431DA7" w:rsidRDefault="00EA5E71" w:rsidP="00EA5E71">
      <w:pPr>
        <w:pStyle w:val="a8"/>
        <w:numPr>
          <w:ilvl w:val="0"/>
          <w:numId w:val="9"/>
        </w:numPr>
      </w:pPr>
      <w:r w:rsidRPr="00431DA7">
        <w:t xml:space="preserve">No exposure to </w:t>
      </w:r>
      <w:r w:rsidR="00431DA7" w:rsidRPr="00431DA7">
        <w:t xml:space="preserve">other classes of anti-hypertensive drug except the specific two classes. </w:t>
      </w:r>
    </w:p>
    <w:p w14:paraId="06A650AB" w14:textId="7F27DCB0" w:rsidR="00431DA7" w:rsidRPr="00431DA7" w:rsidRDefault="00431DA7" w:rsidP="00EA5E71">
      <w:pPr>
        <w:pStyle w:val="a8"/>
        <w:numPr>
          <w:ilvl w:val="0"/>
          <w:numId w:val="9"/>
        </w:numPr>
        <w:rPr>
          <w:rFonts w:hint="eastAsia"/>
        </w:rPr>
      </w:pPr>
      <w:r w:rsidRPr="00431DA7">
        <w:rPr>
          <w:rFonts w:hint="eastAsia"/>
          <w:lang w:eastAsia="ko-KR"/>
        </w:rPr>
        <w:t>No previous ischemic heart disease, heart failure, stroke or death</w:t>
      </w:r>
    </w:p>
    <w:p w14:paraId="374A3A62" w14:textId="3D2C0E38" w:rsidR="00431DA7" w:rsidRPr="00431DA7" w:rsidRDefault="00431DA7" w:rsidP="00431DA7">
      <w:pPr>
        <w:pStyle w:val="a8"/>
        <w:numPr>
          <w:ilvl w:val="0"/>
          <w:numId w:val="9"/>
        </w:numPr>
      </w:pPr>
      <w:r w:rsidRPr="00431DA7">
        <w:rPr>
          <w:lang w:eastAsia="ko-KR"/>
        </w:rPr>
        <w:t xml:space="preserve">Without early outcome of </w:t>
      </w:r>
      <w:r w:rsidRPr="00431DA7">
        <w:rPr>
          <w:rFonts w:hint="eastAsia"/>
          <w:lang w:eastAsia="ko-KR"/>
        </w:rPr>
        <w:t>ischemic heart disease, heart failure, stroke or death</w:t>
      </w:r>
      <w:r w:rsidRPr="00431DA7">
        <w:rPr>
          <w:lang w:eastAsia="ko-KR"/>
        </w:rPr>
        <w:t xml:space="preserve"> within 180 days after the index date</w:t>
      </w:r>
    </w:p>
    <w:p w14:paraId="3EE47A42" w14:textId="77777777" w:rsidR="00647841" w:rsidRDefault="00647841" w:rsidP="00647841">
      <w:pPr>
        <w:pStyle w:val="3"/>
      </w:pPr>
      <w:bookmarkStart w:id="16" w:name="_Toc470944217"/>
      <w:r>
        <w:t>Outcomes</w:t>
      </w:r>
      <w:bookmarkEnd w:id="16"/>
    </w:p>
    <w:p w14:paraId="5E331A3B" w14:textId="27B1C5D6" w:rsidR="00410363" w:rsidRDefault="00F05D4D" w:rsidP="008F127C">
      <w:pPr>
        <w:pStyle w:val="4"/>
        <w:numPr>
          <w:ilvl w:val="0"/>
          <w:numId w:val="0"/>
        </w:numPr>
      </w:pPr>
      <w:r>
        <w:t>Primary outcome: composite endpoint of major adverse cardio/cerebral events (MACCE)</w:t>
      </w:r>
    </w:p>
    <w:p w14:paraId="494B4356" w14:textId="611E4B01" w:rsidR="00431DA7" w:rsidRDefault="00431DA7" w:rsidP="00F56947">
      <w:r>
        <w:t>Primary outcome includes the four major adverse cardio/cerebral events:</w:t>
      </w:r>
    </w:p>
    <w:p w14:paraId="4DB8B3BF" w14:textId="15CF08D2" w:rsidR="00431DA7" w:rsidRDefault="00431DA7" w:rsidP="00F56947">
      <w:r>
        <w:t>Myocardial infarction, heart failure, stroke and all-cause death</w:t>
      </w:r>
    </w:p>
    <w:p w14:paraId="42921BDB" w14:textId="3924AA0C" w:rsidR="00431DA7" w:rsidRDefault="00431DA7" w:rsidP="00F56947">
      <w:r>
        <w:t xml:space="preserve">These four MACCEs are defined below. </w:t>
      </w:r>
    </w:p>
    <w:p w14:paraId="32D3697D" w14:textId="2AF01E3A" w:rsidR="004A4CFD" w:rsidRDefault="00F05D4D" w:rsidP="008F127C">
      <w:pPr>
        <w:pStyle w:val="4"/>
        <w:numPr>
          <w:ilvl w:val="0"/>
          <w:numId w:val="0"/>
        </w:numPr>
      </w:pPr>
      <w:r>
        <w:t>Secondary outcome: Myocardial Infarction</w:t>
      </w:r>
    </w:p>
    <w:p w14:paraId="7382B91F" w14:textId="77777777" w:rsidR="004A4CFD" w:rsidRDefault="004A4CFD" w:rsidP="004A4CFD">
      <w:r>
        <w:t xml:space="preserve">Index rule defining the index date:  </w:t>
      </w:r>
    </w:p>
    <w:p w14:paraId="6DE6AD20" w14:textId="2868B420" w:rsidR="00431DA7" w:rsidRDefault="004A4CFD" w:rsidP="00431DA7">
      <w:pPr>
        <w:pStyle w:val="a8"/>
        <w:numPr>
          <w:ilvl w:val="0"/>
          <w:numId w:val="4"/>
        </w:numPr>
      </w:pPr>
      <w:r>
        <w:t>Occurrence o</w:t>
      </w:r>
      <w:r w:rsidR="00431DA7">
        <w:t xml:space="preserve">f a myocardial infarction code </w:t>
      </w:r>
      <w:r>
        <w:t>as a diagnosis in an inpatient or emergency room setting</w:t>
      </w:r>
    </w:p>
    <w:p w14:paraId="0A870BC2" w14:textId="24A50A05" w:rsidR="004A4CFD" w:rsidRDefault="004A4CFD" w:rsidP="00A42B5A">
      <w:r>
        <w:t>Inclusion rules based on the index date:</w:t>
      </w:r>
    </w:p>
    <w:p w14:paraId="3D7CF5F8" w14:textId="7CB01638" w:rsidR="00A42B5A" w:rsidRDefault="00A42B5A" w:rsidP="00A42B5A">
      <w:pPr>
        <w:pStyle w:val="a8"/>
        <w:numPr>
          <w:ilvl w:val="0"/>
          <w:numId w:val="4"/>
        </w:numPr>
      </w:pPr>
      <w:r w:rsidRPr="00431DA7">
        <w:t>At least 180 days of observation time prior to and after the index date</w:t>
      </w:r>
    </w:p>
    <w:p w14:paraId="0A515390" w14:textId="3F73593C" w:rsidR="00A42B5A" w:rsidRPr="00431DA7" w:rsidRDefault="00A42B5A" w:rsidP="00A42B5A">
      <w:pPr>
        <w:pStyle w:val="a8"/>
        <w:numPr>
          <w:ilvl w:val="0"/>
          <w:numId w:val="4"/>
        </w:numPr>
      </w:pPr>
      <w:r>
        <w:t>Have prior diagnosis of hypertension</w:t>
      </w:r>
    </w:p>
    <w:p w14:paraId="53D90826" w14:textId="585712C8" w:rsidR="001E3220" w:rsidRDefault="001E3220" w:rsidP="00A42B5A">
      <w:pPr>
        <w:ind w:left="360"/>
      </w:pPr>
    </w:p>
    <w:p w14:paraId="42AD840B" w14:textId="3F5EBC1C" w:rsidR="00F05D4D" w:rsidRDefault="00F05D4D" w:rsidP="00F05D4D">
      <w:pPr>
        <w:pStyle w:val="4"/>
        <w:numPr>
          <w:ilvl w:val="0"/>
          <w:numId w:val="0"/>
        </w:numPr>
      </w:pPr>
      <w:r>
        <w:t>Secondary outcome: Heart Failure</w:t>
      </w:r>
    </w:p>
    <w:p w14:paraId="4045C3F8" w14:textId="77777777" w:rsidR="00A42B5A" w:rsidRDefault="00A42B5A" w:rsidP="00A42B5A">
      <w:r>
        <w:t xml:space="preserve">Index rule defining the index date:  </w:t>
      </w:r>
    </w:p>
    <w:p w14:paraId="4F7BE1C0" w14:textId="1CCD8A35" w:rsidR="00A42B5A" w:rsidRDefault="00A42B5A" w:rsidP="00A42B5A">
      <w:pPr>
        <w:pStyle w:val="a8"/>
        <w:numPr>
          <w:ilvl w:val="0"/>
          <w:numId w:val="4"/>
        </w:numPr>
      </w:pPr>
      <w:r>
        <w:t xml:space="preserve">Occurrence of a </w:t>
      </w:r>
      <w:r>
        <w:t>heart failure</w:t>
      </w:r>
      <w:r>
        <w:t xml:space="preserve"> code as a diagnosis in an inpatient or emergency room setting</w:t>
      </w:r>
    </w:p>
    <w:p w14:paraId="5E9068BA" w14:textId="77777777" w:rsidR="00A42B5A" w:rsidRDefault="00A42B5A" w:rsidP="00A42B5A">
      <w:r>
        <w:t>Inclusion rules based on the index date:</w:t>
      </w:r>
    </w:p>
    <w:p w14:paraId="650E8993" w14:textId="77777777" w:rsidR="00A42B5A" w:rsidRDefault="00A42B5A" w:rsidP="00A42B5A">
      <w:pPr>
        <w:pStyle w:val="a8"/>
        <w:numPr>
          <w:ilvl w:val="0"/>
          <w:numId w:val="4"/>
        </w:numPr>
      </w:pPr>
      <w:r w:rsidRPr="00431DA7">
        <w:t>At least 180 days of observation time prior to and after the index date</w:t>
      </w:r>
    </w:p>
    <w:p w14:paraId="79C0BCB7" w14:textId="77777777" w:rsidR="00A42B5A" w:rsidRPr="00431DA7" w:rsidRDefault="00A42B5A" w:rsidP="00A42B5A">
      <w:pPr>
        <w:pStyle w:val="a8"/>
        <w:numPr>
          <w:ilvl w:val="0"/>
          <w:numId w:val="4"/>
        </w:numPr>
      </w:pPr>
      <w:r>
        <w:t>Have prior diagnosis of hypertension</w:t>
      </w:r>
    </w:p>
    <w:p w14:paraId="6CDA16CC" w14:textId="0CD32E7D" w:rsidR="00F05D4D" w:rsidRDefault="00F05D4D" w:rsidP="00F05D4D">
      <w:pPr>
        <w:pStyle w:val="4"/>
        <w:numPr>
          <w:ilvl w:val="0"/>
          <w:numId w:val="0"/>
        </w:numPr>
      </w:pPr>
      <w:r>
        <w:t>Secondary outcome: Stroke</w:t>
      </w:r>
    </w:p>
    <w:p w14:paraId="2D659148" w14:textId="77777777" w:rsidR="00A42B5A" w:rsidRDefault="00A42B5A" w:rsidP="00A42B5A">
      <w:r>
        <w:t xml:space="preserve">Index rule defining the index date:  </w:t>
      </w:r>
    </w:p>
    <w:p w14:paraId="2C8348AE" w14:textId="77777777" w:rsidR="00A42B5A" w:rsidRDefault="00A42B5A" w:rsidP="00A42B5A">
      <w:pPr>
        <w:pStyle w:val="a8"/>
        <w:numPr>
          <w:ilvl w:val="0"/>
          <w:numId w:val="4"/>
        </w:numPr>
      </w:pPr>
      <w:r>
        <w:t>Occurrence of a heart failure code as a diagnosis in an inpatient or emergency room setting</w:t>
      </w:r>
    </w:p>
    <w:p w14:paraId="438806AA" w14:textId="77777777" w:rsidR="00A42B5A" w:rsidRDefault="00A42B5A" w:rsidP="00A42B5A">
      <w:r>
        <w:t>Inclusion rules based on the index date:</w:t>
      </w:r>
    </w:p>
    <w:p w14:paraId="54747E39" w14:textId="77777777" w:rsidR="00A42B5A" w:rsidRDefault="00A42B5A" w:rsidP="00A42B5A">
      <w:pPr>
        <w:pStyle w:val="a8"/>
        <w:numPr>
          <w:ilvl w:val="0"/>
          <w:numId w:val="4"/>
        </w:numPr>
      </w:pPr>
      <w:r w:rsidRPr="00431DA7">
        <w:t>At least 180 days of observation time prior to and after the index date</w:t>
      </w:r>
    </w:p>
    <w:p w14:paraId="141B4214" w14:textId="77777777" w:rsidR="00A42B5A" w:rsidRPr="00431DA7" w:rsidRDefault="00A42B5A" w:rsidP="00A42B5A">
      <w:pPr>
        <w:pStyle w:val="a8"/>
        <w:numPr>
          <w:ilvl w:val="0"/>
          <w:numId w:val="4"/>
        </w:numPr>
      </w:pPr>
      <w:r>
        <w:t>Have prior diagnosis of hypertension</w:t>
      </w:r>
    </w:p>
    <w:p w14:paraId="519CDFF3" w14:textId="74C2A5EC" w:rsidR="00F05D4D" w:rsidRDefault="00A42B5A" w:rsidP="00A42B5A">
      <w:pPr>
        <w:pStyle w:val="4"/>
        <w:numPr>
          <w:ilvl w:val="0"/>
          <w:numId w:val="0"/>
        </w:numPr>
      </w:pPr>
      <w:r>
        <w:t xml:space="preserve"> </w:t>
      </w:r>
      <w:r w:rsidR="00F05D4D">
        <w:t>Secondary outcome: All-cause mortality</w:t>
      </w:r>
    </w:p>
    <w:p w14:paraId="548A7AEA" w14:textId="77777777" w:rsidR="00A42B5A" w:rsidRDefault="00A42B5A" w:rsidP="00A42B5A">
      <w:r>
        <w:t xml:space="preserve">Index rule defining the index date:  </w:t>
      </w:r>
    </w:p>
    <w:p w14:paraId="5F9A42B1" w14:textId="136252AC" w:rsidR="00A42B5A" w:rsidRDefault="00A42B5A" w:rsidP="00A42B5A">
      <w:pPr>
        <w:pStyle w:val="a8"/>
        <w:numPr>
          <w:ilvl w:val="0"/>
          <w:numId w:val="4"/>
        </w:numPr>
      </w:pPr>
      <w:r>
        <w:t>Any Death</w:t>
      </w:r>
    </w:p>
    <w:p w14:paraId="3BFD586B" w14:textId="77777777" w:rsidR="00A42B5A" w:rsidRDefault="00A42B5A" w:rsidP="00A42B5A">
      <w:r>
        <w:t>Inclusion rules based on the index date:</w:t>
      </w:r>
    </w:p>
    <w:p w14:paraId="07D563A8" w14:textId="77777777" w:rsidR="00A42B5A" w:rsidRPr="00431DA7" w:rsidRDefault="00A42B5A" w:rsidP="00A42B5A">
      <w:pPr>
        <w:pStyle w:val="a8"/>
        <w:numPr>
          <w:ilvl w:val="0"/>
          <w:numId w:val="4"/>
        </w:numPr>
      </w:pPr>
      <w:r>
        <w:t>Have prior diagnosis of hypertension</w:t>
      </w:r>
    </w:p>
    <w:p w14:paraId="6956514F" w14:textId="17DAD547" w:rsidR="00F05D4D" w:rsidRDefault="00F05D4D" w:rsidP="00F05D4D">
      <w:pPr>
        <w:pStyle w:val="4"/>
        <w:numPr>
          <w:ilvl w:val="0"/>
          <w:numId w:val="0"/>
        </w:numPr>
      </w:pPr>
      <w:r>
        <w:t>Secondary outcome: New-onset diabetes mellitus, type II</w:t>
      </w:r>
    </w:p>
    <w:p w14:paraId="68856831" w14:textId="77777777" w:rsidR="00A42B5A" w:rsidRDefault="00A42B5A" w:rsidP="00A42B5A">
      <w:r>
        <w:t xml:space="preserve">Index rule defining the index date:  </w:t>
      </w:r>
    </w:p>
    <w:p w14:paraId="60FB016E" w14:textId="4DBE42B9" w:rsidR="00A42B5A" w:rsidRDefault="00A42B5A" w:rsidP="00A42B5A">
      <w:pPr>
        <w:pStyle w:val="a8"/>
        <w:numPr>
          <w:ilvl w:val="0"/>
          <w:numId w:val="4"/>
        </w:numPr>
      </w:pPr>
      <w:r>
        <w:t xml:space="preserve">Occurrence of a </w:t>
      </w:r>
      <w:r>
        <w:t>diabetes</w:t>
      </w:r>
      <w:r>
        <w:t xml:space="preserve"> code as a diagnosis</w:t>
      </w:r>
    </w:p>
    <w:p w14:paraId="171286D4" w14:textId="7D8E44C9" w:rsidR="00A42B5A" w:rsidRDefault="00A42B5A" w:rsidP="00A42B5A">
      <w:pPr>
        <w:pStyle w:val="a8"/>
        <w:numPr>
          <w:ilvl w:val="0"/>
          <w:numId w:val="4"/>
        </w:numPr>
      </w:pPr>
      <w:r>
        <w:t>Starting anti-diabetic medication</w:t>
      </w:r>
    </w:p>
    <w:p w14:paraId="1872CCCE" w14:textId="77777777" w:rsidR="00A42B5A" w:rsidRDefault="00A42B5A" w:rsidP="00A42B5A">
      <w:r>
        <w:t>Inclusion rules based on the index date:</w:t>
      </w:r>
    </w:p>
    <w:p w14:paraId="0727A746" w14:textId="77777777" w:rsidR="00A42B5A" w:rsidRDefault="00A42B5A" w:rsidP="00A42B5A">
      <w:pPr>
        <w:pStyle w:val="a8"/>
        <w:numPr>
          <w:ilvl w:val="0"/>
          <w:numId w:val="4"/>
        </w:numPr>
      </w:pPr>
      <w:r w:rsidRPr="00431DA7">
        <w:t>At least 180 days of observation time prior to and after the index date</w:t>
      </w:r>
    </w:p>
    <w:p w14:paraId="1748D0E5" w14:textId="77777777" w:rsidR="00A42B5A" w:rsidRPr="00431DA7" w:rsidRDefault="00A42B5A" w:rsidP="00A42B5A">
      <w:pPr>
        <w:pStyle w:val="a8"/>
        <w:numPr>
          <w:ilvl w:val="0"/>
          <w:numId w:val="4"/>
        </w:numPr>
      </w:pPr>
      <w:r>
        <w:t>Have prior diagnosis of hypertension</w:t>
      </w:r>
    </w:p>
    <w:p w14:paraId="4958CB48" w14:textId="5F8297F6" w:rsidR="00F05D4D" w:rsidRDefault="00A42B5A" w:rsidP="00A42B5A">
      <w:pPr>
        <w:pStyle w:val="4"/>
        <w:numPr>
          <w:ilvl w:val="0"/>
          <w:numId w:val="0"/>
        </w:numPr>
      </w:pPr>
      <w:r>
        <w:t xml:space="preserve"> </w:t>
      </w:r>
      <w:r w:rsidR="00F05D4D">
        <w:t>Secondary outcome: New-onset chronic kidney disease</w:t>
      </w:r>
    </w:p>
    <w:p w14:paraId="73942389" w14:textId="77777777" w:rsidR="00A42B5A" w:rsidRDefault="00A42B5A" w:rsidP="00A42B5A">
      <w:bookmarkStart w:id="17" w:name="_Toc470944218"/>
      <w:r>
        <w:t xml:space="preserve">Index rule defining the index date:  </w:t>
      </w:r>
    </w:p>
    <w:p w14:paraId="15243862" w14:textId="3020858E" w:rsidR="00A42B5A" w:rsidRDefault="00A42B5A" w:rsidP="00A42B5A">
      <w:pPr>
        <w:pStyle w:val="a8"/>
        <w:numPr>
          <w:ilvl w:val="0"/>
          <w:numId w:val="4"/>
        </w:numPr>
      </w:pPr>
      <w:r>
        <w:t xml:space="preserve">Occurrence of a </w:t>
      </w:r>
      <w:r>
        <w:t>chronic kidney disease</w:t>
      </w:r>
      <w:r>
        <w:t xml:space="preserve"> code as a diagnosis</w:t>
      </w:r>
    </w:p>
    <w:p w14:paraId="225D4CDF" w14:textId="77777777" w:rsidR="00A42B5A" w:rsidRDefault="00A42B5A" w:rsidP="00A42B5A">
      <w:r>
        <w:t>Inclusion rules based on the index date:</w:t>
      </w:r>
    </w:p>
    <w:p w14:paraId="705AD682" w14:textId="77777777" w:rsidR="00A42B5A" w:rsidRDefault="00A42B5A" w:rsidP="00A42B5A">
      <w:pPr>
        <w:pStyle w:val="a8"/>
        <w:numPr>
          <w:ilvl w:val="0"/>
          <w:numId w:val="4"/>
        </w:numPr>
      </w:pPr>
      <w:r w:rsidRPr="00431DA7">
        <w:t>At least 180 days of observation time prior to and after the index date</w:t>
      </w:r>
    </w:p>
    <w:p w14:paraId="67E42EB6" w14:textId="77777777" w:rsidR="00A42B5A" w:rsidRPr="00431DA7" w:rsidRDefault="00A42B5A" w:rsidP="00A42B5A">
      <w:pPr>
        <w:pStyle w:val="a8"/>
        <w:numPr>
          <w:ilvl w:val="0"/>
          <w:numId w:val="4"/>
        </w:numPr>
      </w:pPr>
      <w:r>
        <w:t>Have prior diagnosis of hypertension</w:t>
      </w:r>
    </w:p>
    <w:p w14:paraId="26FF4697" w14:textId="77777777" w:rsidR="00A90C5A" w:rsidRDefault="00647841" w:rsidP="00A90C5A">
      <w:pPr>
        <w:pStyle w:val="3"/>
      </w:pPr>
      <w:r>
        <w:t>Potential confounders</w:t>
      </w:r>
      <w:bookmarkEnd w:id="17"/>
    </w:p>
    <w:p w14:paraId="2A43D703" w14:textId="77777777" w:rsidR="000E2BC2" w:rsidRDefault="00B70E7F" w:rsidP="000E2BC2">
      <w:r>
        <w:t>The following will be included as potential covariates: (note: most covariates are assessed on or in the 365 days prior to index date)</w:t>
      </w:r>
    </w:p>
    <w:p w14:paraId="079C64DC" w14:textId="77777777" w:rsidR="00B70E7F" w:rsidRDefault="00B70E7F" w:rsidP="00B70E7F">
      <w:pPr>
        <w:pStyle w:val="a8"/>
        <w:numPr>
          <w:ilvl w:val="0"/>
          <w:numId w:val="7"/>
        </w:numPr>
      </w:pPr>
      <w:r>
        <w:t>Demographics (age in 5-year increments, gender, race, ethnicity, year of index date, month of index date)</w:t>
      </w:r>
    </w:p>
    <w:p w14:paraId="15D60C70" w14:textId="77777777" w:rsidR="00B70E7F" w:rsidRDefault="00B70E7F" w:rsidP="00B70E7F">
      <w:pPr>
        <w:pStyle w:val="a8"/>
        <w:numPr>
          <w:ilvl w:val="0"/>
          <w:numId w:val="7"/>
        </w:numPr>
      </w:pPr>
      <w:r>
        <w:t xml:space="preserve">Condition occurrence </w:t>
      </w:r>
      <w:r w:rsidR="008478AE">
        <w:t>(one or more variables per diagnose code)</w:t>
      </w:r>
    </w:p>
    <w:p w14:paraId="4FA7E739" w14:textId="77777777" w:rsidR="00B70E7F" w:rsidRDefault="00B70E7F" w:rsidP="00B70E7F">
      <w:pPr>
        <w:pStyle w:val="a8"/>
        <w:numPr>
          <w:ilvl w:val="0"/>
          <w:numId w:val="7"/>
        </w:numPr>
      </w:pPr>
      <w:r>
        <w:t>Condition e</w:t>
      </w:r>
      <w:r w:rsidR="005A4F8C">
        <w:t>ra</w:t>
      </w:r>
      <w:r w:rsidR="008478AE">
        <w:t xml:space="preserve"> (one or more variables per diagnose code)</w:t>
      </w:r>
    </w:p>
    <w:p w14:paraId="775E5AEF" w14:textId="77777777" w:rsidR="00B70E7F" w:rsidRDefault="00B70E7F" w:rsidP="00B70E7F">
      <w:pPr>
        <w:pStyle w:val="a8"/>
        <w:numPr>
          <w:ilvl w:val="0"/>
          <w:numId w:val="7"/>
        </w:numPr>
      </w:pPr>
      <w:r>
        <w:t xml:space="preserve">Condition group </w:t>
      </w:r>
      <w:r w:rsidR="00BD6715">
        <w:t>(</w:t>
      </w:r>
      <w:r w:rsidR="008478AE">
        <w:t xml:space="preserve">one or more variables per </w:t>
      </w:r>
      <w:proofErr w:type="spellStart"/>
      <w:r w:rsidR="00BD6715">
        <w:t>Med</w:t>
      </w:r>
      <w:r w:rsidR="00DA136C">
        <w:t>DRA</w:t>
      </w:r>
      <w:proofErr w:type="spellEnd"/>
      <w:r w:rsidR="008478AE">
        <w:t xml:space="preserve"> group or</w:t>
      </w:r>
      <w:r w:rsidR="00BD6715">
        <w:t xml:space="preserve"> SNOMED groups)</w:t>
      </w:r>
    </w:p>
    <w:p w14:paraId="79D36BDF" w14:textId="77777777" w:rsidR="00B70E7F" w:rsidRDefault="00B70E7F" w:rsidP="00B70E7F">
      <w:pPr>
        <w:pStyle w:val="a8"/>
        <w:numPr>
          <w:ilvl w:val="0"/>
          <w:numId w:val="7"/>
        </w:numPr>
      </w:pPr>
      <w:r>
        <w:t>Drug exposure</w:t>
      </w:r>
      <w:r w:rsidR="00DF07EE">
        <w:t xml:space="preserve"> </w:t>
      </w:r>
      <w:r w:rsidR="0095254B">
        <w:t>(one or more variables per drug code)</w:t>
      </w:r>
    </w:p>
    <w:p w14:paraId="3EDE3D54" w14:textId="77777777" w:rsidR="00DF07EE" w:rsidRDefault="00DF07EE" w:rsidP="00B70E7F">
      <w:pPr>
        <w:pStyle w:val="a8"/>
        <w:numPr>
          <w:ilvl w:val="0"/>
          <w:numId w:val="7"/>
        </w:numPr>
      </w:pPr>
      <w:r>
        <w:t>Drug era</w:t>
      </w:r>
      <w:r w:rsidR="0095254B">
        <w:t xml:space="preserve"> (one or more variables per </w:t>
      </w:r>
      <w:proofErr w:type="spellStart"/>
      <w:r w:rsidR="0095254B">
        <w:t>RxNorm</w:t>
      </w:r>
      <w:proofErr w:type="spellEnd"/>
      <w:r w:rsidR="0095254B">
        <w:t xml:space="preserve"> ingredient)</w:t>
      </w:r>
    </w:p>
    <w:p w14:paraId="6EE387F8" w14:textId="77777777" w:rsidR="00DF07EE" w:rsidRDefault="00DF07EE" w:rsidP="00B70E7F">
      <w:pPr>
        <w:pStyle w:val="a8"/>
        <w:numPr>
          <w:ilvl w:val="0"/>
          <w:numId w:val="7"/>
        </w:numPr>
      </w:pPr>
      <w:r>
        <w:t>Drug group (</w:t>
      </w:r>
      <w:r w:rsidR="0095254B">
        <w:t xml:space="preserve">one or more variables per </w:t>
      </w:r>
      <w:r>
        <w:t>ATC group</w:t>
      </w:r>
      <w:r w:rsidR="0095254B">
        <w:t>)</w:t>
      </w:r>
    </w:p>
    <w:p w14:paraId="29E427BC" w14:textId="77777777" w:rsidR="00B92C3E" w:rsidRDefault="00B92C3E" w:rsidP="00B70E7F">
      <w:pPr>
        <w:pStyle w:val="a8"/>
        <w:numPr>
          <w:ilvl w:val="0"/>
          <w:numId w:val="7"/>
        </w:numPr>
      </w:pPr>
      <w:r>
        <w:t>Procedure occurrence (one or more variables per procedure code)</w:t>
      </w:r>
    </w:p>
    <w:p w14:paraId="30D52DD7" w14:textId="77777777" w:rsidR="00DF07EE" w:rsidRDefault="005A4F8C" w:rsidP="00B70E7F">
      <w:pPr>
        <w:pStyle w:val="a8"/>
        <w:numPr>
          <w:ilvl w:val="0"/>
          <w:numId w:val="7"/>
        </w:numPr>
      </w:pPr>
      <w:r>
        <w:t>Observations</w:t>
      </w:r>
      <w:r w:rsidR="0095254B">
        <w:t xml:space="preserve"> (one or more variables per observation concept ID)</w:t>
      </w:r>
    </w:p>
    <w:p w14:paraId="7D4C6313" w14:textId="77777777" w:rsidR="005A4F8C" w:rsidRDefault="005A4F8C" w:rsidP="00B70E7F">
      <w:pPr>
        <w:pStyle w:val="a8"/>
        <w:numPr>
          <w:ilvl w:val="0"/>
          <w:numId w:val="7"/>
        </w:numPr>
      </w:pPr>
      <w:r>
        <w:t>Measurements</w:t>
      </w:r>
      <w:r w:rsidR="0095254B">
        <w:t xml:space="preserve"> (one or more variables per measurement concept ID, including variables for within / above / below normal range)</w:t>
      </w:r>
    </w:p>
    <w:p w14:paraId="7681C52A" w14:textId="77777777" w:rsidR="00B70E7F" w:rsidRDefault="000E1A06" w:rsidP="00B70E7F">
      <w:pPr>
        <w:pStyle w:val="a8"/>
        <w:numPr>
          <w:ilvl w:val="0"/>
          <w:numId w:val="7"/>
        </w:numPr>
      </w:pPr>
      <w:r>
        <w:t>Risk scores (including Charleston, DCSI, CHADS2, CHADS2VASc</w:t>
      </w:r>
    </w:p>
    <w:p w14:paraId="6B75C06F" w14:textId="77777777"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9" w:history="1">
        <w:r w:rsidR="00DB060F" w:rsidRPr="00495934">
          <w:rPr>
            <w:rStyle w:val="a3"/>
          </w:rPr>
          <w:t>https://github.com/OHDSI/CohortMethod</w:t>
        </w:r>
      </w:hyperlink>
      <w:r w:rsidR="00B73FB8">
        <w:t>)</w:t>
      </w:r>
      <w:r>
        <w:t xml:space="preserve">. </w:t>
      </w:r>
    </w:p>
    <w:p w14:paraId="1F645CFC" w14:textId="77777777" w:rsidR="009243CA" w:rsidRDefault="00890410" w:rsidP="004C2A2F">
      <w:r>
        <w:t xml:space="preserve">Variables with less than 100 non-zero values are discarded. </w:t>
      </w:r>
      <w:r w:rsidR="00487F21">
        <w:t>All covariates were used in both the propensity model and the outcome model.</w:t>
      </w:r>
    </w:p>
    <w:p w14:paraId="684FF05C" w14:textId="0BAE3647" w:rsidR="006E50F5" w:rsidRDefault="006E50F5" w:rsidP="006E50F5">
      <w:pPr>
        <w:pStyle w:val="3"/>
      </w:pPr>
      <w:bookmarkStart w:id="18" w:name="_Toc470944219"/>
      <w:r>
        <w:t>Negative</w:t>
      </w:r>
      <w:r w:rsidR="0062771D">
        <w:t xml:space="preserve"> and positive</w:t>
      </w:r>
      <w:r>
        <w:t xml:space="preserve"> controls</w:t>
      </w:r>
      <w:bookmarkEnd w:id="18"/>
    </w:p>
    <w:p w14:paraId="1A7B0626" w14:textId="62DB9B37" w:rsidR="0062771D" w:rsidRDefault="0062771D" w:rsidP="0062771D">
      <w:r>
        <w:t>We believe that negative controls as well as positive controls are necessary for confidentiality of study design and statistical method. We are looking for appropriate negative and positive controls now.</w:t>
      </w:r>
    </w:p>
    <w:p w14:paraId="4A761559" w14:textId="77777777" w:rsidR="0062771D" w:rsidRDefault="0062771D" w:rsidP="0062771D"/>
    <w:p w14:paraId="2827452C" w14:textId="7B84618D" w:rsidR="00540AD6" w:rsidRDefault="00540AD6" w:rsidP="00A01E4C">
      <w:pPr>
        <w:pStyle w:val="3"/>
      </w:pPr>
      <w:bookmarkStart w:id="19" w:name="_Toc470944220"/>
      <w:r>
        <w:t>Other variables</w:t>
      </w:r>
      <w:bookmarkEnd w:id="19"/>
    </w:p>
    <w:p w14:paraId="05957378" w14:textId="19875EDE" w:rsidR="00647841" w:rsidRDefault="0062771D" w:rsidP="00647841">
      <w:r>
        <w:t>None</w:t>
      </w:r>
    </w:p>
    <w:p w14:paraId="517B64D6" w14:textId="77777777" w:rsidR="00647841" w:rsidRDefault="00753386" w:rsidP="0071036B">
      <w:pPr>
        <w:pStyle w:val="2"/>
      </w:pPr>
      <w:bookmarkStart w:id="20" w:name="_Toc470944221"/>
      <w:r>
        <w:t>Data Sources</w:t>
      </w:r>
      <w:bookmarkEnd w:id="20"/>
    </w:p>
    <w:p w14:paraId="05D83FF6" w14:textId="77777777"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a3"/>
          </w:rPr>
          <w:t>http://omop.org/cdm</w:t>
        </w:r>
      </w:hyperlink>
      <w:r>
        <w:t xml:space="preserve">.  The complete specification for OMOP Common Data Model, version 5 is available at:  </w:t>
      </w:r>
      <w:hyperlink r:id="rId11" w:history="1">
        <w:r w:rsidRPr="00026C35">
          <w:rPr>
            <w:rStyle w:val="a3"/>
          </w:rPr>
          <w:t>https://github.com/OHDSI/CommonDataModel</w:t>
        </w:r>
      </w:hyperlink>
      <w:r>
        <w:t>.  The following databases will be included in this analysis:</w:t>
      </w:r>
    </w:p>
    <w:p w14:paraId="6404C91B" w14:textId="49054763" w:rsidR="00A201D8" w:rsidRDefault="00A201D8" w:rsidP="00FA1B4A">
      <w:pPr>
        <w:pStyle w:val="a8"/>
        <w:numPr>
          <w:ilvl w:val="0"/>
          <w:numId w:val="1"/>
        </w:numPr>
      </w:pPr>
      <w:r>
        <w:t>National Health Insurance Service-National Sample Cohort (NHIS-NSC)</w:t>
      </w:r>
    </w:p>
    <w:p w14:paraId="2F1AC03F" w14:textId="77777777" w:rsidR="00FA1B4A" w:rsidRDefault="00FA1B4A" w:rsidP="00FA1B4A"/>
    <w:p w14:paraId="4B6DCD57" w14:textId="22F6628D" w:rsidR="00A201D8" w:rsidRDefault="00A201D8" w:rsidP="00A201D8">
      <w:r>
        <w:t>N</w:t>
      </w:r>
      <w:r>
        <w:t>ational Health Insurance Service-National Sample Cohort (NHIS-NSC)</w:t>
      </w:r>
    </w:p>
    <w:p w14:paraId="74531FE9" w14:textId="5869081F" w:rsidR="00A201D8" w:rsidRDefault="00A201D8" w:rsidP="00A201D8">
      <w:pPr>
        <w:ind w:firstLineChars="50" w:firstLine="110"/>
      </w:pPr>
      <w:r>
        <w:t>NHIS has</w:t>
      </w:r>
      <w:r w:rsidR="00FA1B4A">
        <w:t xml:space="preserve"> a</w:t>
      </w:r>
      <w:r w:rsidR="00FA1B4A" w:rsidRPr="00056480">
        <w:t>n administrative health claims database for</w:t>
      </w:r>
      <w:r>
        <w:t xml:space="preserve"> virtually whole population in Korea. </w:t>
      </w:r>
      <w:r w:rsidRPr="00A201D8">
        <w:t>The NHIS established the NHIS-NSC, which was population</w:t>
      </w:r>
      <w:r>
        <w:t xml:space="preserve"> </w:t>
      </w:r>
      <w:r w:rsidRPr="00A201D8">
        <w:t>based cohort to provide representative, useful health insurance</w:t>
      </w:r>
      <w:r>
        <w:t xml:space="preserve"> </w:t>
      </w:r>
      <w:r w:rsidRPr="00A201D8">
        <w:t>and hea</w:t>
      </w:r>
      <w:r>
        <w:t>l</w:t>
      </w:r>
      <w:r w:rsidRPr="00A201D8">
        <w:t>th examination data to public health researche</w:t>
      </w:r>
      <w:r>
        <w:t>rs</w:t>
      </w:r>
      <w:r w:rsidRPr="00A201D8">
        <w:t xml:space="preserve"> and</w:t>
      </w:r>
      <w:r>
        <w:t xml:space="preserve"> </w:t>
      </w:r>
      <w:r w:rsidRPr="00A201D8">
        <w:t>policy makers in 2015</w:t>
      </w:r>
      <w:r>
        <w:t xml:space="preserve">. </w:t>
      </w:r>
      <w:r w:rsidRPr="00A201D8">
        <w:rPr>
          <w:b/>
          <w:bCs/>
        </w:rPr>
        <w:t xml:space="preserve"> </w:t>
      </w:r>
      <w:r w:rsidRPr="00A201D8">
        <w:t>About one million subjects, 2% of the</w:t>
      </w:r>
      <w:r>
        <w:t xml:space="preserve"> </w:t>
      </w:r>
      <w:r w:rsidRPr="00A201D8">
        <w:t>Korean whole population, were selected by stratified random</w:t>
      </w:r>
      <w:r>
        <w:t xml:space="preserve"> </w:t>
      </w:r>
      <w:r w:rsidRPr="00A201D8">
        <w:t>sampling from 2002 Korean health insurance database.</w:t>
      </w:r>
      <w:r>
        <w:t xml:space="preserve"> </w:t>
      </w:r>
      <w:r w:rsidRPr="00A201D8">
        <w:t>Lo</w:t>
      </w:r>
      <w:r>
        <w:t>n</w:t>
      </w:r>
      <w:r w:rsidRPr="00A201D8">
        <w:t>gitudinal health records in these population were collected</w:t>
      </w:r>
      <w:r>
        <w:t xml:space="preserve"> </w:t>
      </w:r>
      <w:r w:rsidRPr="00A201D8">
        <w:t>for 11 years from 2002 to 2013. To preserve total number of</w:t>
      </w:r>
      <w:r>
        <w:t xml:space="preserve"> </w:t>
      </w:r>
      <w:r w:rsidRPr="00A201D8">
        <w:t>subjects in the cohort, a representative sample of newborn was</w:t>
      </w:r>
      <w:r>
        <w:t xml:space="preserve"> </w:t>
      </w:r>
      <w:r w:rsidRPr="00A201D8">
        <w:t>added annu</w:t>
      </w:r>
      <w:r>
        <w:t>a</w:t>
      </w:r>
      <w:r w:rsidRPr="00A201D8">
        <w:t>lly as expired or emigrated subjects were excluded.</w:t>
      </w:r>
      <w:r w:rsidRPr="00A201D8">
        <w:br/>
      </w:r>
      <w:r w:rsidRPr="00A201D8">
        <w:t>The NHIS-NSC database can be assessed on the website</w:t>
      </w:r>
      <w:r>
        <w:t xml:space="preserve"> </w:t>
      </w:r>
      <w:r w:rsidRPr="00A201D8">
        <w:t>[http://nhiss.nhis.or.kr/bd/ab/bdaba021eng.do]</w:t>
      </w:r>
      <w:r w:rsidRPr="00A201D8">
        <w:rPr>
          <w:i/>
          <w:iCs/>
        </w:rPr>
        <w:t>.</w:t>
      </w:r>
    </w:p>
    <w:p w14:paraId="39E7D6CF" w14:textId="07872A8B" w:rsidR="00FA1B4A" w:rsidRPr="00056480" w:rsidRDefault="00FA1B4A" w:rsidP="00A201D8">
      <w:r>
        <w:t>Source codes used i</w:t>
      </w:r>
      <w:r w:rsidR="00A201D8">
        <w:t>n CCAE include:  conditions- KCD (KCD-10)</w:t>
      </w:r>
      <w:r>
        <w:t xml:space="preserve">; drugs:  </w:t>
      </w:r>
      <w:r w:rsidR="00A201D8">
        <w:t>EDI</w:t>
      </w:r>
      <w:r>
        <w:t xml:space="preserve">; procedures:  </w:t>
      </w:r>
      <w:r w:rsidR="00A201D8">
        <w:t>EDI</w:t>
      </w:r>
      <w:r>
        <w:t xml:space="preserve">; lab:  </w:t>
      </w:r>
      <w:r w:rsidR="00A201D8">
        <w:t>EDI</w:t>
      </w:r>
      <w:r>
        <w:t xml:space="preserve">.  </w:t>
      </w:r>
    </w:p>
    <w:p w14:paraId="7BD48C12" w14:textId="77777777" w:rsidR="00FA1B4A" w:rsidRDefault="00FA1B4A" w:rsidP="00FA1B4A"/>
    <w:p w14:paraId="2EC5BB1D" w14:textId="58799394" w:rsidR="0097632D" w:rsidRDefault="00753386" w:rsidP="0097632D">
      <w:pPr>
        <w:pStyle w:val="2"/>
      </w:pPr>
      <w:bookmarkStart w:id="21" w:name="_Toc470944222"/>
      <w:r>
        <w:t>Sample Size and Study Power</w:t>
      </w:r>
      <w:bookmarkEnd w:id="21"/>
    </w:p>
    <w:p w14:paraId="4B1F7679" w14:textId="58690301" w:rsidR="00A201D8" w:rsidRPr="00A201D8" w:rsidRDefault="00A201D8" w:rsidP="00A201D8">
      <w:r>
        <w:rPr>
          <w:rFonts w:hint="eastAsia"/>
          <w:lang w:eastAsia="ko-KR"/>
        </w:rPr>
        <w:t>?</w:t>
      </w:r>
    </w:p>
    <w:p w14:paraId="72A81A41" w14:textId="77777777" w:rsidR="0071036B" w:rsidRDefault="0071036B" w:rsidP="0071036B">
      <w:pPr>
        <w:pStyle w:val="2"/>
      </w:pPr>
      <w:bookmarkStart w:id="22" w:name="_Toc470944223"/>
      <w:r>
        <w:t>Quality control</w:t>
      </w:r>
      <w:bookmarkEnd w:id="22"/>
    </w:p>
    <w:p w14:paraId="51C74076" w14:textId="0D6A771A" w:rsidR="008E259A" w:rsidRDefault="008E259A" w:rsidP="00F13993">
      <w:r>
        <w:t>We will evaluate the confidentiality of this study by using positive and negative controls.</w:t>
      </w:r>
    </w:p>
    <w:p w14:paraId="4867EAB3" w14:textId="77777777" w:rsidR="008E259A" w:rsidRDefault="008E259A" w:rsidP="00F13993"/>
    <w:p w14:paraId="51A66C4F" w14:textId="77777777" w:rsidR="0071036B" w:rsidRDefault="00A05DFF" w:rsidP="00A05DFF">
      <w:pPr>
        <w:pStyle w:val="2"/>
      </w:pPr>
      <w:bookmarkStart w:id="23" w:name="_Toc470944224"/>
      <w:r w:rsidRPr="0054294D">
        <w:t xml:space="preserve">Strengths and </w:t>
      </w:r>
      <w:r>
        <w:t>Limitations of the Research M</w:t>
      </w:r>
      <w:r w:rsidRPr="0054294D">
        <w:t>ethods</w:t>
      </w:r>
      <w:bookmarkEnd w:id="23"/>
    </w:p>
    <w:p w14:paraId="7895F96C" w14:textId="77777777" w:rsidR="00DA6923" w:rsidRDefault="00DA6923" w:rsidP="00DA6923">
      <w:r>
        <w:t>Strength</w:t>
      </w:r>
    </w:p>
    <w:p w14:paraId="6FE50E6F" w14:textId="6E58C9A7" w:rsidR="008E259A" w:rsidRDefault="008E259A" w:rsidP="00DA6923">
      <w:pPr>
        <w:pStyle w:val="a8"/>
        <w:numPr>
          <w:ilvl w:val="0"/>
          <w:numId w:val="10"/>
        </w:numPr>
      </w:pPr>
      <w:proofErr w:type="spellStart"/>
      <w:r>
        <w:t>CohortMethod</w:t>
      </w:r>
      <w:proofErr w:type="spellEnd"/>
      <w:r>
        <w:t xml:space="preserve"> will match PS on large number of baseline potential confounders</w:t>
      </w:r>
    </w:p>
    <w:p w14:paraId="5F3CFF95" w14:textId="72843F7C" w:rsidR="008E259A" w:rsidRDefault="008E259A" w:rsidP="00DA6923">
      <w:pPr>
        <w:pStyle w:val="a8"/>
        <w:numPr>
          <w:ilvl w:val="0"/>
          <w:numId w:val="10"/>
        </w:numPr>
      </w:pPr>
      <w:r>
        <w:t xml:space="preserve">Through this study, we will able to investigate differences in the response of hypertension medication under diverse geographical, ethnic and medical systems. </w:t>
      </w:r>
    </w:p>
    <w:p w14:paraId="76F04CE9" w14:textId="1B1C14CE" w:rsidR="0062116D" w:rsidRDefault="0062116D" w:rsidP="00DA6923">
      <w:pPr>
        <w:pStyle w:val="a8"/>
        <w:numPr>
          <w:ilvl w:val="0"/>
          <w:numId w:val="10"/>
        </w:numPr>
      </w:pPr>
      <w:r>
        <w:t xml:space="preserve">Use of negative </w:t>
      </w:r>
      <w:r w:rsidR="008E259A">
        <w:t xml:space="preserve">and positive </w:t>
      </w:r>
      <w:r>
        <w:t xml:space="preserve">control outcomes allow for evaluating the study design as a </w:t>
      </w:r>
      <w:r w:rsidR="003A7244">
        <w:t>whole in terms of residual bias.</w:t>
      </w:r>
    </w:p>
    <w:p w14:paraId="7BC378C2" w14:textId="77777777" w:rsidR="0062116D" w:rsidRDefault="0062116D" w:rsidP="0062116D">
      <w:r>
        <w:t>Limitations</w:t>
      </w:r>
    </w:p>
    <w:p w14:paraId="14FC9CE5" w14:textId="4BDB0955" w:rsidR="0062116D" w:rsidRDefault="0062116D" w:rsidP="0062116D">
      <w:pPr>
        <w:pStyle w:val="a8"/>
        <w:numPr>
          <w:ilvl w:val="0"/>
          <w:numId w:val="10"/>
        </w:numPr>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2D01E1A4" w14:textId="45DA1F31" w:rsidR="008E259A" w:rsidRDefault="008E259A" w:rsidP="0062116D">
      <w:pPr>
        <w:pStyle w:val="a8"/>
        <w:numPr>
          <w:ilvl w:val="0"/>
          <w:numId w:val="10"/>
        </w:numPr>
      </w:pPr>
      <w:r>
        <w:t xml:space="preserve">Misclassification of the outcome is expected as a result of diagnostic or codding errors. </w:t>
      </w:r>
    </w:p>
    <w:p w14:paraId="094B4595" w14:textId="77777777" w:rsidR="003A48BF" w:rsidRDefault="003A48BF" w:rsidP="003A48BF">
      <w:pPr>
        <w:pStyle w:val="1"/>
      </w:pPr>
      <w:bookmarkStart w:id="24" w:name="_Toc470944225"/>
      <w:r>
        <w:t>Protection of Human Subjects</w:t>
      </w:r>
      <w:bookmarkEnd w:id="24"/>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25" w:name="_Toc470944226"/>
      <w:r>
        <w:t>Plans for Disseminating and Communicating Study Results</w:t>
      </w:r>
      <w:bookmarkEnd w:id="25"/>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1"/>
      </w:pPr>
      <w:bookmarkStart w:id="26" w:name="_Toc470944227"/>
      <w:r>
        <w:t>References</w:t>
      </w:r>
      <w:bookmarkEnd w:id="26"/>
    </w:p>
    <w:p w14:paraId="7F219BB8" w14:textId="21327DAA" w:rsidR="0062771D" w:rsidRPr="0062771D" w:rsidRDefault="0062771D" w:rsidP="0062771D">
      <w:pPr>
        <w:pStyle w:val="ac"/>
        <w:spacing w:line="360" w:lineRule="auto"/>
        <w:rPr>
          <w:rFonts w:ascii="Calibri" w:hAnsi="Calibri" w:cs="Calibri"/>
        </w:rPr>
      </w:pPr>
      <w:r>
        <w:fldChar w:fldCharType="begin"/>
      </w:r>
      <w:r>
        <w:instrText xml:space="preserve"> ADDIN ZOTERO_BIBL {"custom":[]} CSL_BIBLIOGRAPHY </w:instrText>
      </w:r>
      <w:r>
        <w:fldChar w:fldCharType="separate"/>
      </w:r>
      <w:r w:rsidRPr="0062771D">
        <w:rPr>
          <w:rFonts w:ascii="Calibri" w:hAnsi="Calibri" w:cs="Calibri"/>
        </w:rPr>
        <w:t>1.</w:t>
      </w:r>
      <w:r w:rsidRPr="0062771D">
        <w:rPr>
          <w:rFonts w:ascii="Calibri" w:hAnsi="Calibri" w:cs="Calibri"/>
        </w:rPr>
        <w:tab/>
      </w:r>
      <w:proofErr w:type="spellStart"/>
      <w:r w:rsidRPr="0062771D">
        <w:rPr>
          <w:rFonts w:ascii="Calibri" w:hAnsi="Calibri" w:cs="Calibri"/>
        </w:rPr>
        <w:t>Forouzanfar</w:t>
      </w:r>
      <w:proofErr w:type="spellEnd"/>
      <w:r w:rsidRPr="0062771D">
        <w:rPr>
          <w:rFonts w:ascii="Calibri" w:hAnsi="Calibri" w:cs="Calibri"/>
        </w:rPr>
        <w:t xml:space="preserve">, M. H. </w:t>
      </w:r>
      <w:r w:rsidRPr="0062771D">
        <w:rPr>
          <w:rFonts w:ascii="Calibri" w:hAnsi="Calibri" w:cs="Calibri"/>
          <w:i/>
          <w:iCs/>
        </w:rPr>
        <w:t>et al.</w:t>
      </w:r>
      <w:r w:rsidRPr="0062771D">
        <w:rPr>
          <w:rFonts w:ascii="Calibri" w:hAnsi="Calibri" w:cs="Calibri"/>
        </w:rPr>
        <w:t xml:space="preserve"> Global, regional, and national comparative risk assessment of 79 </w:t>
      </w:r>
      <w:proofErr w:type="spellStart"/>
      <w:r w:rsidRPr="0062771D">
        <w:rPr>
          <w:rFonts w:ascii="Calibri" w:hAnsi="Calibri" w:cs="Calibri"/>
        </w:rPr>
        <w:t>behavioural</w:t>
      </w:r>
      <w:proofErr w:type="spellEnd"/>
      <w:r w:rsidRPr="0062771D">
        <w:rPr>
          <w:rFonts w:ascii="Calibri" w:hAnsi="Calibri" w:cs="Calibri"/>
        </w:rPr>
        <w:t xml:space="preserve">, environmental and occupational, and metabolic risks or clusters of risks, 1990–2015: a systematic analysis for the Global Burden of Disease Study 2015.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388,</w:t>
      </w:r>
      <w:r w:rsidRPr="0062771D">
        <w:rPr>
          <w:rFonts w:ascii="Calibri" w:hAnsi="Calibri" w:cs="Calibri"/>
        </w:rPr>
        <w:t xml:space="preserve"> 1659–1724 (2016).</w:t>
      </w:r>
    </w:p>
    <w:p w14:paraId="475FE45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2.</w:t>
      </w:r>
      <w:r w:rsidRPr="0062771D">
        <w:rPr>
          <w:rFonts w:ascii="Calibri" w:hAnsi="Calibri" w:cs="Calibri"/>
        </w:rPr>
        <w:tab/>
        <w:t xml:space="preserve">Cushman, W. C. </w:t>
      </w:r>
      <w:r w:rsidRPr="0062771D">
        <w:rPr>
          <w:rFonts w:ascii="Calibri" w:hAnsi="Calibri" w:cs="Calibri"/>
          <w:i/>
          <w:iCs/>
        </w:rPr>
        <w:t>et al.</w:t>
      </w:r>
      <w:r w:rsidRPr="0062771D">
        <w:rPr>
          <w:rFonts w:ascii="Calibri" w:hAnsi="Calibri" w:cs="Calibri"/>
        </w:rPr>
        <w:t xml:space="preserve"> Success and predictors of blood pressure control in diverse North American settings: the antihypertensive and lipid-lowering treatment to prevent heart attack trial (ALLHAT). </w:t>
      </w:r>
      <w:r w:rsidRPr="0062771D">
        <w:rPr>
          <w:rFonts w:ascii="Calibri" w:hAnsi="Calibri" w:cs="Calibri"/>
          <w:i/>
          <w:iCs/>
        </w:rPr>
        <w:t xml:space="preserve">J. </w:t>
      </w:r>
      <w:proofErr w:type="spellStart"/>
      <w:r w:rsidRPr="0062771D">
        <w:rPr>
          <w:rFonts w:ascii="Calibri" w:hAnsi="Calibri" w:cs="Calibri"/>
          <w:i/>
          <w:iCs/>
        </w:rPr>
        <w:t>Clin</w:t>
      </w:r>
      <w:proofErr w:type="spellEnd"/>
      <w:r w:rsidRPr="0062771D">
        <w:rPr>
          <w:rFonts w:ascii="Calibri" w:hAnsi="Calibri" w:cs="Calibri"/>
          <w:i/>
          <w:iCs/>
        </w:rPr>
        <w:t xml:space="preserve">. </w:t>
      </w:r>
      <w:proofErr w:type="spellStart"/>
      <w:r w:rsidRPr="0062771D">
        <w:rPr>
          <w:rFonts w:ascii="Calibri" w:hAnsi="Calibri" w:cs="Calibri"/>
          <w:i/>
          <w:iCs/>
        </w:rPr>
        <w:t>Hypertens</w:t>
      </w:r>
      <w:proofErr w:type="spellEnd"/>
      <w:r w:rsidRPr="0062771D">
        <w:rPr>
          <w:rFonts w:ascii="Calibri" w:hAnsi="Calibri" w:cs="Calibri"/>
          <w:i/>
          <w:iCs/>
        </w:rPr>
        <w:t>. Greenwich Conn</w:t>
      </w:r>
      <w:r w:rsidRPr="0062771D">
        <w:rPr>
          <w:rFonts w:ascii="Calibri" w:hAnsi="Calibri" w:cs="Calibri"/>
        </w:rPr>
        <w:t xml:space="preserve"> </w:t>
      </w:r>
      <w:r w:rsidRPr="0062771D">
        <w:rPr>
          <w:rFonts w:ascii="Calibri" w:hAnsi="Calibri" w:cs="Calibri"/>
          <w:b/>
          <w:bCs/>
        </w:rPr>
        <w:t>4,</w:t>
      </w:r>
      <w:r w:rsidRPr="0062771D">
        <w:rPr>
          <w:rFonts w:ascii="Calibri" w:hAnsi="Calibri" w:cs="Calibri"/>
        </w:rPr>
        <w:t xml:space="preserve"> 393–404 (2002).</w:t>
      </w:r>
    </w:p>
    <w:p w14:paraId="44C8D42C"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3.</w:t>
      </w:r>
      <w:r w:rsidRPr="0062771D">
        <w:rPr>
          <w:rFonts w:ascii="Calibri" w:hAnsi="Calibri" w:cs="Calibri"/>
        </w:rPr>
        <w:tab/>
        <w:t xml:space="preserve">James, P. A. </w:t>
      </w:r>
      <w:r w:rsidRPr="0062771D">
        <w:rPr>
          <w:rFonts w:ascii="Calibri" w:hAnsi="Calibri" w:cs="Calibri"/>
          <w:i/>
          <w:iCs/>
        </w:rPr>
        <w:t>et al.</w:t>
      </w:r>
      <w:r w:rsidRPr="0062771D">
        <w:rPr>
          <w:rFonts w:ascii="Calibri" w:hAnsi="Calibri" w:cs="Calibri"/>
        </w:rPr>
        <w:t xml:space="preserve"> 2014 Evidence-Based Guideline for the Management of High Blood Pressure in Adults: Report </w:t>
      </w:r>
      <w:proofErr w:type="gramStart"/>
      <w:r w:rsidRPr="0062771D">
        <w:rPr>
          <w:rFonts w:ascii="Calibri" w:hAnsi="Calibri" w:cs="Calibri"/>
        </w:rPr>
        <w:t>From</w:t>
      </w:r>
      <w:proofErr w:type="gramEnd"/>
      <w:r w:rsidRPr="0062771D">
        <w:rPr>
          <w:rFonts w:ascii="Calibri" w:hAnsi="Calibri" w:cs="Calibri"/>
        </w:rPr>
        <w:t xml:space="preserve"> the Panel Members Appointed to the Eighth Joint National Committee (JNC 8).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311,</w:t>
      </w:r>
      <w:r w:rsidRPr="0062771D">
        <w:rPr>
          <w:rFonts w:ascii="Calibri" w:hAnsi="Calibri" w:cs="Calibri"/>
        </w:rPr>
        <w:t xml:space="preserve"> 507–520 (2014).</w:t>
      </w:r>
    </w:p>
    <w:p w14:paraId="678076A5"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4.</w:t>
      </w:r>
      <w:r w:rsidRPr="0062771D">
        <w:rPr>
          <w:rFonts w:ascii="Calibri" w:hAnsi="Calibri" w:cs="Calibri"/>
        </w:rPr>
        <w:tab/>
      </w:r>
      <w:proofErr w:type="spellStart"/>
      <w:r w:rsidRPr="0062771D">
        <w:rPr>
          <w:rFonts w:ascii="Calibri" w:hAnsi="Calibri" w:cs="Calibri"/>
        </w:rPr>
        <w:t>Basile</w:t>
      </w:r>
      <w:proofErr w:type="spellEnd"/>
      <w:r w:rsidRPr="0062771D">
        <w:rPr>
          <w:rFonts w:ascii="Calibri" w:hAnsi="Calibri" w:cs="Calibri"/>
        </w:rPr>
        <w:t xml:space="preserve">, J. N. &amp; Bloch, M. J. Analysis of Recent Papers in Hypertension Initial Combination Therapy Provides More Prompt Blood Pressure Control and Reduces Cardiovascular Events </w:t>
      </w:r>
      <w:proofErr w:type="gramStart"/>
      <w:r w:rsidRPr="0062771D">
        <w:rPr>
          <w:rFonts w:ascii="Calibri" w:hAnsi="Calibri" w:cs="Calibri"/>
        </w:rPr>
        <w:t>But</w:t>
      </w:r>
      <w:proofErr w:type="gramEnd"/>
      <w:r w:rsidRPr="0062771D">
        <w:rPr>
          <w:rFonts w:ascii="Calibri" w:hAnsi="Calibri" w:cs="Calibri"/>
        </w:rPr>
        <w:t xml:space="preserve"> Remains Underutilized. </w:t>
      </w:r>
      <w:r w:rsidRPr="0062771D">
        <w:rPr>
          <w:rFonts w:ascii="Calibri" w:hAnsi="Calibri" w:cs="Calibri"/>
          <w:i/>
          <w:iCs/>
        </w:rPr>
        <w:t xml:space="preserve">J. </w:t>
      </w:r>
      <w:proofErr w:type="spellStart"/>
      <w:r w:rsidRPr="0062771D">
        <w:rPr>
          <w:rFonts w:ascii="Calibri" w:hAnsi="Calibri" w:cs="Calibri"/>
          <w:i/>
          <w:iCs/>
        </w:rPr>
        <w:t>Clin</w:t>
      </w:r>
      <w:proofErr w:type="spellEnd"/>
      <w:r w:rsidRPr="0062771D">
        <w:rPr>
          <w:rFonts w:ascii="Calibri" w:hAnsi="Calibri" w:cs="Calibri"/>
          <w:i/>
          <w:iCs/>
        </w:rPr>
        <w:t xml:space="preserve">. </w:t>
      </w:r>
      <w:proofErr w:type="spellStart"/>
      <w:r w:rsidRPr="0062771D">
        <w:rPr>
          <w:rFonts w:ascii="Calibri" w:hAnsi="Calibri" w:cs="Calibri"/>
          <w:i/>
          <w:iCs/>
        </w:rPr>
        <w:t>Hypertens</w:t>
      </w:r>
      <w:proofErr w:type="spellEnd"/>
      <w:r w:rsidRPr="0062771D">
        <w:rPr>
          <w:rFonts w:ascii="Calibri" w:hAnsi="Calibri" w:cs="Calibri"/>
          <w:i/>
          <w:iCs/>
        </w:rPr>
        <w:t>.</w:t>
      </w:r>
      <w:r w:rsidRPr="0062771D">
        <w:rPr>
          <w:rFonts w:ascii="Calibri" w:hAnsi="Calibri" w:cs="Calibri"/>
        </w:rPr>
        <w:t xml:space="preserve"> </w:t>
      </w:r>
      <w:r w:rsidRPr="0062771D">
        <w:rPr>
          <w:rFonts w:ascii="Calibri" w:hAnsi="Calibri" w:cs="Calibri"/>
          <w:b/>
          <w:bCs/>
        </w:rPr>
        <w:t>15,</w:t>
      </w:r>
      <w:r w:rsidRPr="0062771D">
        <w:rPr>
          <w:rFonts w:ascii="Calibri" w:hAnsi="Calibri" w:cs="Calibri"/>
        </w:rPr>
        <w:t xml:space="preserve"> 523–525 (2013).</w:t>
      </w:r>
    </w:p>
    <w:p w14:paraId="46548FE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5.</w:t>
      </w:r>
      <w:r w:rsidRPr="0062771D">
        <w:rPr>
          <w:rFonts w:ascii="Calibri" w:hAnsi="Calibri" w:cs="Calibri"/>
        </w:rPr>
        <w:tab/>
        <w:t xml:space="preserve">He, T. </w:t>
      </w:r>
      <w:r w:rsidRPr="0062771D">
        <w:rPr>
          <w:rFonts w:ascii="Calibri" w:hAnsi="Calibri" w:cs="Calibri"/>
          <w:i/>
          <w:iCs/>
        </w:rPr>
        <w:t>et al.</w:t>
      </w:r>
      <w:r w:rsidRPr="0062771D">
        <w:rPr>
          <w:rFonts w:ascii="Calibri" w:hAnsi="Calibri" w:cs="Calibri"/>
        </w:rPr>
        <w:t xml:space="preserve"> High-dose calcium channel blocker (CCB) monotherapy vs combination therapy of standard-dose CCBs and angiotensin receptor blockers for hypertension: a meta-analysis. </w:t>
      </w:r>
      <w:r w:rsidRPr="0062771D">
        <w:rPr>
          <w:rFonts w:ascii="Calibri" w:hAnsi="Calibri" w:cs="Calibri"/>
          <w:i/>
          <w:iCs/>
        </w:rPr>
        <w:t xml:space="preserve">J. Hum. </w:t>
      </w:r>
      <w:proofErr w:type="spellStart"/>
      <w:r w:rsidRPr="0062771D">
        <w:rPr>
          <w:rFonts w:ascii="Calibri" w:hAnsi="Calibri" w:cs="Calibri"/>
          <w:i/>
          <w:iCs/>
        </w:rPr>
        <w:t>Hypertens</w:t>
      </w:r>
      <w:proofErr w:type="spellEnd"/>
      <w:r w:rsidRPr="0062771D">
        <w:rPr>
          <w:rFonts w:ascii="Calibri" w:hAnsi="Calibri" w:cs="Calibri"/>
          <w:i/>
          <w:iCs/>
        </w:rPr>
        <w:t>.</w:t>
      </w:r>
      <w:r w:rsidRPr="0062771D">
        <w:rPr>
          <w:rFonts w:ascii="Calibri" w:hAnsi="Calibri" w:cs="Calibri"/>
        </w:rPr>
        <w:t xml:space="preserve"> (2016). doi:10.1038/jhh.2016.46</w:t>
      </w:r>
    </w:p>
    <w:p w14:paraId="35216357"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6.</w:t>
      </w:r>
      <w:r w:rsidRPr="0062771D">
        <w:rPr>
          <w:rFonts w:ascii="Calibri" w:hAnsi="Calibri" w:cs="Calibri"/>
        </w:rPr>
        <w:tab/>
      </w:r>
      <w:proofErr w:type="spellStart"/>
      <w:r w:rsidRPr="0062771D">
        <w:rPr>
          <w:rFonts w:ascii="Calibri" w:hAnsi="Calibri" w:cs="Calibri"/>
        </w:rPr>
        <w:t>Gradman</w:t>
      </w:r>
      <w:proofErr w:type="spellEnd"/>
      <w:r w:rsidRPr="0062771D">
        <w:rPr>
          <w:rFonts w:ascii="Calibri" w:hAnsi="Calibri" w:cs="Calibri"/>
        </w:rPr>
        <w:t xml:space="preserve">, A. H. </w:t>
      </w:r>
      <w:r w:rsidRPr="0062771D">
        <w:rPr>
          <w:rFonts w:ascii="Calibri" w:hAnsi="Calibri" w:cs="Calibri"/>
          <w:i/>
          <w:iCs/>
        </w:rPr>
        <w:t>et al.</w:t>
      </w:r>
      <w:r w:rsidRPr="0062771D">
        <w:rPr>
          <w:rFonts w:ascii="Calibri" w:hAnsi="Calibri" w:cs="Calibri"/>
        </w:rPr>
        <w:t xml:space="preserve"> Initial Combination Therapy Reduces the Risk of Cardiovascular Events in Hypertensive Patients.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61,</w:t>
      </w:r>
      <w:r w:rsidRPr="0062771D">
        <w:rPr>
          <w:rFonts w:ascii="Calibri" w:hAnsi="Calibri" w:cs="Calibri"/>
        </w:rPr>
        <w:t xml:space="preserve"> 309–318 (2013).</w:t>
      </w:r>
    </w:p>
    <w:p w14:paraId="5CECD2F3"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7.</w:t>
      </w:r>
      <w:r w:rsidRPr="0062771D">
        <w:rPr>
          <w:rFonts w:ascii="Calibri" w:hAnsi="Calibri" w:cs="Calibri"/>
        </w:rPr>
        <w:tab/>
        <w:t xml:space="preserve">Egan, B. M. </w:t>
      </w:r>
      <w:r w:rsidRPr="0062771D">
        <w:rPr>
          <w:rFonts w:ascii="Calibri" w:hAnsi="Calibri" w:cs="Calibri"/>
          <w:i/>
          <w:iCs/>
        </w:rPr>
        <w:t>et al.</w:t>
      </w:r>
      <w:r w:rsidRPr="0062771D">
        <w:rPr>
          <w:rFonts w:ascii="Calibri" w:hAnsi="Calibri" w:cs="Calibri"/>
        </w:rPr>
        <w:t xml:space="preserve"> Initial Monotherapy and Combination Therapy and Hypertension Control the First Year. </w:t>
      </w:r>
      <w:r w:rsidRPr="0062771D">
        <w:rPr>
          <w:rFonts w:ascii="Calibri" w:hAnsi="Calibri" w:cs="Calibri"/>
          <w:i/>
          <w:iCs/>
        </w:rPr>
        <w:t>Hypertension</w:t>
      </w:r>
      <w:r w:rsidRPr="0062771D">
        <w:rPr>
          <w:rFonts w:ascii="Calibri" w:hAnsi="Calibri" w:cs="Calibri"/>
        </w:rPr>
        <w:t xml:space="preserve"> </w:t>
      </w:r>
      <w:r w:rsidRPr="0062771D">
        <w:rPr>
          <w:rFonts w:ascii="Calibri" w:hAnsi="Calibri" w:cs="Calibri"/>
          <w:b/>
          <w:bCs/>
        </w:rPr>
        <w:t>59,</w:t>
      </w:r>
      <w:r w:rsidRPr="0062771D">
        <w:rPr>
          <w:rFonts w:ascii="Calibri" w:hAnsi="Calibri" w:cs="Calibri"/>
        </w:rPr>
        <w:t xml:space="preserve"> 1124–1131 (2012).</w:t>
      </w:r>
    </w:p>
    <w:p w14:paraId="0465A60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8.</w:t>
      </w:r>
      <w:r w:rsidRPr="0062771D">
        <w:rPr>
          <w:rFonts w:ascii="Calibri" w:hAnsi="Calibri" w:cs="Calibri"/>
        </w:rPr>
        <w:tab/>
      </w:r>
      <w:proofErr w:type="spellStart"/>
      <w:r w:rsidRPr="0062771D">
        <w:rPr>
          <w:rFonts w:ascii="Calibri" w:hAnsi="Calibri" w:cs="Calibri"/>
        </w:rPr>
        <w:t>Jamerson</w:t>
      </w:r>
      <w:proofErr w:type="spellEnd"/>
      <w:r w:rsidRPr="0062771D">
        <w:rPr>
          <w:rFonts w:ascii="Calibri" w:hAnsi="Calibri" w:cs="Calibri"/>
        </w:rPr>
        <w:t xml:space="preserve">, K. </w:t>
      </w:r>
      <w:r w:rsidRPr="0062771D">
        <w:rPr>
          <w:rFonts w:ascii="Calibri" w:hAnsi="Calibri" w:cs="Calibri"/>
          <w:i/>
          <w:iCs/>
        </w:rPr>
        <w:t>et al.</w:t>
      </w:r>
      <w:r w:rsidRPr="0062771D">
        <w:rPr>
          <w:rFonts w:ascii="Calibri" w:hAnsi="Calibri" w:cs="Calibri"/>
        </w:rPr>
        <w:t xml:space="preserve"> Benazepril plus Amlodipine or Hydrochlorothiazide for Hypertension in High-Risk Patients. </w:t>
      </w:r>
      <w:r w:rsidRPr="0062771D">
        <w:rPr>
          <w:rFonts w:ascii="Calibri" w:hAnsi="Calibri" w:cs="Calibri"/>
          <w:i/>
          <w:iCs/>
        </w:rPr>
        <w:t>N. Engl. J. Med.</w:t>
      </w:r>
      <w:r w:rsidRPr="0062771D">
        <w:rPr>
          <w:rFonts w:ascii="Calibri" w:hAnsi="Calibri" w:cs="Calibri"/>
        </w:rPr>
        <w:t xml:space="preserve"> </w:t>
      </w:r>
      <w:r w:rsidRPr="0062771D">
        <w:rPr>
          <w:rFonts w:ascii="Calibri" w:hAnsi="Calibri" w:cs="Calibri"/>
          <w:b/>
          <w:bCs/>
        </w:rPr>
        <w:t>359,</w:t>
      </w:r>
      <w:r w:rsidRPr="0062771D">
        <w:rPr>
          <w:rFonts w:ascii="Calibri" w:hAnsi="Calibri" w:cs="Calibri"/>
        </w:rPr>
        <w:t xml:space="preserve"> 2417–2428 (2008).</w:t>
      </w:r>
    </w:p>
    <w:p w14:paraId="4A9EDD51"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9.</w:t>
      </w:r>
      <w:r w:rsidRPr="0062771D">
        <w:rPr>
          <w:rFonts w:ascii="Calibri" w:hAnsi="Calibri" w:cs="Calibri"/>
        </w:rPr>
        <w:tab/>
      </w:r>
      <w:proofErr w:type="spellStart"/>
      <w:r w:rsidRPr="0062771D">
        <w:rPr>
          <w:rFonts w:ascii="Calibri" w:hAnsi="Calibri" w:cs="Calibri"/>
        </w:rPr>
        <w:t>Ogihara</w:t>
      </w:r>
      <w:proofErr w:type="spellEnd"/>
      <w:r w:rsidRPr="0062771D">
        <w:rPr>
          <w:rFonts w:ascii="Calibri" w:hAnsi="Calibri" w:cs="Calibri"/>
        </w:rPr>
        <w:t xml:space="preserve">, T. </w:t>
      </w:r>
      <w:r w:rsidRPr="0062771D">
        <w:rPr>
          <w:rFonts w:ascii="Calibri" w:hAnsi="Calibri" w:cs="Calibri"/>
          <w:i/>
          <w:iCs/>
        </w:rPr>
        <w:t>et al.</w:t>
      </w:r>
      <w:r w:rsidRPr="0062771D">
        <w:rPr>
          <w:rFonts w:ascii="Calibri" w:hAnsi="Calibri" w:cs="Calibri"/>
        </w:rPr>
        <w:t xml:space="preserve"> Combinations of olmesartan and a calcium channel blocker or a diuretic in elderly hypertensive patients: a randomized, controlled trial1. </w:t>
      </w:r>
      <w:r w:rsidRPr="0062771D">
        <w:rPr>
          <w:rFonts w:ascii="Calibri" w:hAnsi="Calibri" w:cs="Calibri"/>
          <w:i/>
          <w:iCs/>
        </w:rPr>
        <w:t xml:space="preserve">J. </w:t>
      </w:r>
      <w:proofErr w:type="spellStart"/>
      <w:r w:rsidRPr="0062771D">
        <w:rPr>
          <w:rFonts w:ascii="Calibri" w:hAnsi="Calibri" w:cs="Calibri"/>
          <w:i/>
          <w:iCs/>
        </w:rPr>
        <w:t>Hypertens</w:t>
      </w:r>
      <w:proofErr w:type="spellEnd"/>
      <w:r w:rsidRPr="0062771D">
        <w:rPr>
          <w:rFonts w:ascii="Calibri" w:hAnsi="Calibri" w:cs="Calibri"/>
          <w:i/>
          <w:iCs/>
        </w:rPr>
        <w:t>.</w:t>
      </w:r>
      <w:r w:rsidRPr="0062771D">
        <w:rPr>
          <w:rFonts w:ascii="Calibri" w:hAnsi="Calibri" w:cs="Calibri"/>
        </w:rPr>
        <w:t xml:space="preserve"> </w:t>
      </w:r>
      <w:r w:rsidRPr="0062771D">
        <w:rPr>
          <w:rFonts w:ascii="Calibri" w:hAnsi="Calibri" w:cs="Calibri"/>
          <w:b/>
          <w:bCs/>
        </w:rPr>
        <w:t>32,</w:t>
      </w:r>
      <w:r w:rsidRPr="0062771D">
        <w:rPr>
          <w:rFonts w:ascii="Calibri" w:hAnsi="Calibri" w:cs="Calibri"/>
        </w:rPr>
        <w:t xml:space="preserve"> 2054–2063 (2014).</w:t>
      </w:r>
    </w:p>
    <w:p w14:paraId="4B9D3B8D"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10.</w:t>
      </w:r>
      <w:r w:rsidRPr="0062771D">
        <w:rPr>
          <w:rFonts w:ascii="Calibri" w:hAnsi="Calibri" w:cs="Calibri"/>
        </w:rPr>
        <w:tab/>
      </w:r>
      <w:proofErr w:type="spellStart"/>
      <w:r w:rsidRPr="0062771D">
        <w:rPr>
          <w:rFonts w:ascii="Calibri" w:hAnsi="Calibri" w:cs="Calibri"/>
        </w:rPr>
        <w:t>Pepine</w:t>
      </w:r>
      <w:proofErr w:type="spellEnd"/>
      <w:r w:rsidRPr="0062771D">
        <w:rPr>
          <w:rFonts w:ascii="Calibri" w:hAnsi="Calibri" w:cs="Calibri"/>
        </w:rPr>
        <w:t xml:space="preserve">, C. J. </w:t>
      </w:r>
      <w:r w:rsidRPr="0062771D">
        <w:rPr>
          <w:rFonts w:ascii="Calibri" w:hAnsi="Calibri" w:cs="Calibri"/>
          <w:i/>
          <w:iCs/>
        </w:rPr>
        <w:t>et al.</w:t>
      </w:r>
      <w:r w:rsidRPr="0062771D">
        <w:rPr>
          <w:rFonts w:ascii="Calibri" w:hAnsi="Calibri" w:cs="Calibri"/>
        </w:rPr>
        <w:t xml:space="preserve"> A Calcium Antagonist vs a Non–Calcium Antagonist Hypertension Treatment Strategy for Patients </w:t>
      </w:r>
      <w:proofErr w:type="gramStart"/>
      <w:r w:rsidRPr="0062771D">
        <w:rPr>
          <w:rFonts w:ascii="Calibri" w:hAnsi="Calibri" w:cs="Calibri"/>
        </w:rPr>
        <w:t>With</w:t>
      </w:r>
      <w:proofErr w:type="gramEnd"/>
      <w:r w:rsidRPr="0062771D">
        <w:rPr>
          <w:rFonts w:ascii="Calibri" w:hAnsi="Calibri" w:cs="Calibri"/>
        </w:rPr>
        <w:t xml:space="preserve"> Coronary Artery Disease: The International Verapamil-</w:t>
      </w:r>
      <w:proofErr w:type="spellStart"/>
      <w:r w:rsidRPr="0062771D">
        <w:rPr>
          <w:rFonts w:ascii="Calibri" w:hAnsi="Calibri" w:cs="Calibri"/>
        </w:rPr>
        <w:t>Trandolapril</w:t>
      </w:r>
      <w:proofErr w:type="spellEnd"/>
      <w:r w:rsidRPr="0062771D">
        <w:rPr>
          <w:rFonts w:ascii="Calibri" w:hAnsi="Calibri" w:cs="Calibri"/>
        </w:rPr>
        <w:t xml:space="preserve"> Study (INVEST): A Randomized Controlled Trial. </w:t>
      </w:r>
      <w:r w:rsidRPr="0062771D">
        <w:rPr>
          <w:rFonts w:ascii="Calibri" w:hAnsi="Calibri" w:cs="Calibri"/>
          <w:i/>
          <w:iCs/>
        </w:rPr>
        <w:t>JAMA</w:t>
      </w:r>
      <w:r w:rsidRPr="0062771D">
        <w:rPr>
          <w:rFonts w:ascii="Calibri" w:hAnsi="Calibri" w:cs="Calibri"/>
        </w:rPr>
        <w:t xml:space="preserve"> </w:t>
      </w:r>
      <w:r w:rsidRPr="0062771D">
        <w:rPr>
          <w:rFonts w:ascii="Calibri" w:hAnsi="Calibri" w:cs="Calibri"/>
          <w:b/>
          <w:bCs/>
        </w:rPr>
        <w:t>290,</w:t>
      </w:r>
      <w:r w:rsidRPr="0062771D">
        <w:rPr>
          <w:rFonts w:ascii="Calibri" w:hAnsi="Calibri" w:cs="Calibri"/>
        </w:rPr>
        <w:t xml:space="preserve"> 2805–2816 (2003).</w:t>
      </w:r>
    </w:p>
    <w:p w14:paraId="6A0262DE"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11.</w:t>
      </w:r>
      <w:r w:rsidRPr="0062771D">
        <w:rPr>
          <w:rFonts w:ascii="Calibri" w:hAnsi="Calibri" w:cs="Calibri"/>
        </w:rPr>
        <w:tab/>
      </w:r>
      <w:proofErr w:type="spellStart"/>
      <w:r w:rsidRPr="0062771D">
        <w:rPr>
          <w:rFonts w:ascii="Calibri" w:hAnsi="Calibri" w:cs="Calibri"/>
        </w:rPr>
        <w:t>Dahlöf</w:t>
      </w:r>
      <w:proofErr w:type="spellEnd"/>
      <w:r w:rsidRPr="0062771D">
        <w:rPr>
          <w:rFonts w:ascii="Calibri" w:hAnsi="Calibri" w:cs="Calibri"/>
        </w:rPr>
        <w:t xml:space="preserve">, B. </w:t>
      </w:r>
      <w:r w:rsidRPr="0062771D">
        <w:rPr>
          <w:rFonts w:ascii="Calibri" w:hAnsi="Calibri" w:cs="Calibri"/>
          <w:i/>
          <w:iCs/>
        </w:rPr>
        <w:t>et al.</w:t>
      </w:r>
      <w:r w:rsidRPr="0062771D">
        <w:rPr>
          <w:rFonts w:ascii="Calibri" w:hAnsi="Calibri" w:cs="Calibri"/>
        </w:rPr>
        <w:t xml:space="preserve"> Prevention of cardiovascular events with an antihypertensive regimen of amlodipine adding perindopril as required versus atenolol adding </w:t>
      </w:r>
      <w:proofErr w:type="spellStart"/>
      <w:r w:rsidRPr="0062771D">
        <w:rPr>
          <w:rFonts w:ascii="Calibri" w:hAnsi="Calibri" w:cs="Calibri"/>
        </w:rPr>
        <w:t>bendroflumethiazide</w:t>
      </w:r>
      <w:proofErr w:type="spellEnd"/>
      <w:r w:rsidRPr="0062771D">
        <w:rPr>
          <w:rFonts w:ascii="Calibri" w:hAnsi="Calibri" w:cs="Calibri"/>
        </w:rPr>
        <w:t xml:space="preserve"> as required, in the Anglo-Scandinavian Cardiac Outcomes Trial-Blood Pressure Lowering Arm (ASCOT-BPLA): a </w:t>
      </w:r>
      <w:proofErr w:type="spellStart"/>
      <w:r w:rsidRPr="0062771D">
        <w:rPr>
          <w:rFonts w:ascii="Calibri" w:hAnsi="Calibri" w:cs="Calibri"/>
        </w:rPr>
        <w:t>multicentre</w:t>
      </w:r>
      <w:proofErr w:type="spellEnd"/>
      <w:r w:rsidRPr="0062771D">
        <w:rPr>
          <w:rFonts w:ascii="Calibri" w:hAnsi="Calibri" w:cs="Calibri"/>
        </w:rPr>
        <w:t xml:space="preserve"> </w:t>
      </w:r>
      <w:proofErr w:type="spellStart"/>
      <w:r w:rsidRPr="0062771D">
        <w:rPr>
          <w:rFonts w:ascii="Calibri" w:hAnsi="Calibri" w:cs="Calibri"/>
        </w:rPr>
        <w:t>randomised</w:t>
      </w:r>
      <w:proofErr w:type="spellEnd"/>
      <w:r w:rsidRPr="0062771D">
        <w:rPr>
          <w:rFonts w:ascii="Calibri" w:hAnsi="Calibri" w:cs="Calibri"/>
        </w:rPr>
        <w:t xml:space="preserve"> controlled trial. </w:t>
      </w:r>
      <w:r w:rsidRPr="0062771D">
        <w:rPr>
          <w:rFonts w:ascii="Calibri" w:hAnsi="Calibri" w:cs="Calibri"/>
          <w:i/>
          <w:iCs/>
        </w:rPr>
        <w:t>The Lancet</w:t>
      </w:r>
      <w:r w:rsidRPr="0062771D">
        <w:rPr>
          <w:rFonts w:ascii="Calibri" w:hAnsi="Calibri" w:cs="Calibri"/>
        </w:rPr>
        <w:t xml:space="preserve"> </w:t>
      </w:r>
      <w:r w:rsidRPr="0062771D">
        <w:rPr>
          <w:rFonts w:ascii="Calibri" w:hAnsi="Calibri" w:cs="Calibri"/>
          <w:b/>
          <w:bCs/>
        </w:rPr>
        <w:t>366,</w:t>
      </w:r>
      <w:r w:rsidRPr="0062771D">
        <w:rPr>
          <w:rFonts w:ascii="Calibri" w:hAnsi="Calibri" w:cs="Calibri"/>
        </w:rPr>
        <w:t xml:space="preserve"> 895–906 (2005).</w:t>
      </w:r>
    </w:p>
    <w:p w14:paraId="7897C5E6" w14:textId="77777777" w:rsidR="0062771D" w:rsidRPr="0062771D" w:rsidRDefault="0062771D" w:rsidP="0062771D">
      <w:pPr>
        <w:pStyle w:val="ac"/>
        <w:spacing w:line="360" w:lineRule="auto"/>
        <w:rPr>
          <w:rFonts w:ascii="Calibri" w:hAnsi="Calibri" w:cs="Calibri"/>
        </w:rPr>
      </w:pPr>
      <w:r w:rsidRPr="0062771D">
        <w:rPr>
          <w:rFonts w:ascii="Calibri" w:hAnsi="Calibri" w:cs="Calibri"/>
        </w:rPr>
        <w:t>12.</w:t>
      </w:r>
      <w:r w:rsidRPr="0062771D">
        <w:rPr>
          <w:rFonts w:ascii="Calibri" w:hAnsi="Calibri" w:cs="Calibri"/>
        </w:rPr>
        <w:tab/>
      </w:r>
      <w:proofErr w:type="spellStart"/>
      <w:r w:rsidRPr="0062771D">
        <w:rPr>
          <w:rFonts w:ascii="Calibri" w:hAnsi="Calibri" w:cs="Calibri"/>
        </w:rPr>
        <w:t>Rassen</w:t>
      </w:r>
      <w:proofErr w:type="spellEnd"/>
      <w:r w:rsidRPr="0062771D">
        <w:rPr>
          <w:rFonts w:ascii="Calibri" w:hAnsi="Calibri" w:cs="Calibri"/>
        </w:rPr>
        <w:t xml:space="preserve">, J. A. </w:t>
      </w:r>
      <w:r w:rsidRPr="0062771D">
        <w:rPr>
          <w:rFonts w:ascii="Calibri" w:hAnsi="Calibri" w:cs="Calibri"/>
          <w:i/>
          <w:iCs/>
        </w:rPr>
        <w:t>et al.</w:t>
      </w:r>
      <w:r w:rsidRPr="0062771D">
        <w:rPr>
          <w:rFonts w:ascii="Calibri" w:hAnsi="Calibri" w:cs="Calibri"/>
        </w:rPr>
        <w:t xml:space="preserve"> One-to-many propensity score matching in cohort studies. </w:t>
      </w:r>
      <w:proofErr w:type="spellStart"/>
      <w:r w:rsidRPr="0062771D">
        <w:rPr>
          <w:rFonts w:ascii="Calibri" w:hAnsi="Calibri" w:cs="Calibri"/>
          <w:i/>
          <w:iCs/>
        </w:rPr>
        <w:t>Pharmacoepidemiol</w:t>
      </w:r>
      <w:proofErr w:type="spellEnd"/>
      <w:r w:rsidRPr="0062771D">
        <w:rPr>
          <w:rFonts w:ascii="Calibri" w:hAnsi="Calibri" w:cs="Calibri"/>
          <w:i/>
          <w:iCs/>
        </w:rPr>
        <w:t xml:space="preserve">. Drug </w:t>
      </w:r>
      <w:proofErr w:type="spellStart"/>
      <w:r w:rsidRPr="0062771D">
        <w:rPr>
          <w:rFonts w:ascii="Calibri" w:hAnsi="Calibri" w:cs="Calibri"/>
          <w:i/>
          <w:iCs/>
        </w:rPr>
        <w:t>Saf</w:t>
      </w:r>
      <w:proofErr w:type="spellEnd"/>
      <w:r w:rsidRPr="0062771D">
        <w:rPr>
          <w:rFonts w:ascii="Calibri" w:hAnsi="Calibri" w:cs="Calibri"/>
          <w:i/>
          <w:iCs/>
        </w:rPr>
        <w:t>.</w:t>
      </w:r>
      <w:r w:rsidRPr="0062771D">
        <w:rPr>
          <w:rFonts w:ascii="Calibri" w:hAnsi="Calibri" w:cs="Calibri"/>
        </w:rPr>
        <w:t xml:space="preserve"> </w:t>
      </w:r>
      <w:r w:rsidRPr="0062771D">
        <w:rPr>
          <w:rFonts w:ascii="Calibri" w:hAnsi="Calibri" w:cs="Calibri"/>
          <w:b/>
          <w:bCs/>
        </w:rPr>
        <w:t>21,</w:t>
      </w:r>
      <w:r w:rsidRPr="0062771D">
        <w:rPr>
          <w:rFonts w:ascii="Calibri" w:hAnsi="Calibri" w:cs="Calibri"/>
        </w:rPr>
        <w:t xml:space="preserve"> 69–80 (2012).</w:t>
      </w:r>
    </w:p>
    <w:p w14:paraId="05379C57" w14:textId="364C1890" w:rsidR="006D5E44" w:rsidRDefault="0062771D" w:rsidP="0062771D">
      <w:pPr>
        <w:spacing w:line="360" w:lineRule="auto"/>
      </w:pPr>
      <w:r>
        <w:fldChar w:fldCharType="end"/>
      </w:r>
    </w:p>
    <w:sectPr w:rsidR="006D5E44" w:rsidSect="0074593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E2D49" w14:textId="77777777" w:rsidR="00020DCB" w:rsidRDefault="00020DCB" w:rsidP="0074593E">
      <w:pPr>
        <w:spacing w:after="0" w:line="240" w:lineRule="auto"/>
      </w:pPr>
      <w:r>
        <w:separator/>
      </w:r>
    </w:p>
  </w:endnote>
  <w:endnote w:type="continuationSeparator" w:id="0">
    <w:p w14:paraId="2511946C" w14:textId="77777777" w:rsidR="00020DCB" w:rsidRDefault="00020DCB"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78CDC" w14:textId="2A933466" w:rsidR="00020DCB" w:rsidRDefault="00020DCB">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832CB5">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7A5B1" w14:textId="77777777" w:rsidR="00020DCB" w:rsidRDefault="00020DCB" w:rsidP="0074593E">
      <w:pPr>
        <w:spacing w:after="0" w:line="240" w:lineRule="auto"/>
      </w:pPr>
      <w:r>
        <w:separator/>
      </w:r>
    </w:p>
  </w:footnote>
  <w:footnote w:type="continuationSeparator" w:id="0">
    <w:p w14:paraId="4A3E51E7" w14:textId="77777777" w:rsidR="00020DCB" w:rsidRDefault="00020DCB"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28BF" w14:textId="77777777" w:rsidR="00020DCB" w:rsidRDefault="00020DCB">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9321E"/>
    <w:multiLevelType w:val="hybridMultilevel"/>
    <w:tmpl w:val="E1C84530"/>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D316836"/>
    <w:multiLevelType w:val="hybridMultilevel"/>
    <w:tmpl w:val="3D0433F6"/>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F2734"/>
    <w:multiLevelType w:val="hybridMultilevel"/>
    <w:tmpl w:val="3CDAE1C6"/>
    <w:lvl w:ilvl="0" w:tplc="0C14D658">
      <w:start w:val="1"/>
      <w:numFmt w:val="bullet"/>
      <w:lvlText w:val="–"/>
      <w:lvlJc w:val="left"/>
      <w:pPr>
        <w:tabs>
          <w:tab w:val="num" w:pos="720"/>
        </w:tabs>
        <w:ind w:left="720" w:hanging="360"/>
      </w:pPr>
      <w:rPr>
        <w:rFonts w:ascii="굴림" w:hAnsi="굴림" w:hint="default"/>
      </w:rPr>
    </w:lvl>
    <w:lvl w:ilvl="1" w:tplc="96A4A57C">
      <w:start w:val="1"/>
      <w:numFmt w:val="bullet"/>
      <w:lvlText w:val="–"/>
      <w:lvlJc w:val="left"/>
      <w:pPr>
        <w:tabs>
          <w:tab w:val="num" w:pos="1440"/>
        </w:tabs>
        <w:ind w:left="1440" w:hanging="360"/>
      </w:pPr>
      <w:rPr>
        <w:rFonts w:ascii="굴림" w:hAnsi="굴림" w:hint="default"/>
      </w:rPr>
    </w:lvl>
    <w:lvl w:ilvl="2" w:tplc="2814EFEE" w:tentative="1">
      <w:start w:val="1"/>
      <w:numFmt w:val="bullet"/>
      <w:lvlText w:val="–"/>
      <w:lvlJc w:val="left"/>
      <w:pPr>
        <w:tabs>
          <w:tab w:val="num" w:pos="2160"/>
        </w:tabs>
        <w:ind w:left="2160" w:hanging="360"/>
      </w:pPr>
      <w:rPr>
        <w:rFonts w:ascii="굴림" w:hAnsi="굴림" w:hint="default"/>
      </w:rPr>
    </w:lvl>
    <w:lvl w:ilvl="3" w:tplc="FE5CBB8C" w:tentative="1">
      <w:start w:val="1"/>
      <w:numFmt w:val="bullet"/>
      <w:lvlText w:val="–"/>
      <w:lvlJc w:val="left"/>
      <w:pPr>
        <w:tabs>
          <w:tab w:val="num" w:pos="2880"/>
        </w:tabs>
        <w:ind w:left="2880" w:hanging="360"/>
      </w:pPr>
      <w:rPr>
        <w:rFonts w:ascii="굴림" w:hAnsi="굴림" w:hint="default"/>
      </w:rPr>
    </w:lvl>
    <w:lvl w:ilvl="4" w:tplc="7876CA86" w:tentative="1">
      <w:start w:val="1"/>
      <w:numFmt w:val="bullet"/>
      <w:lvlText w:val="–"/>
      <w:lvlJc w:val="left"/>
      <w:pPr>
        <w:tabs>
          <w:tab w:val="num" w:pos="3600"/>
        </w:tabs>
        <w:ind w:left="3600" w:hanging="360"/>
      </w:pPr>
      <w:rPr>
        <w:rFonts w:ascii="굴림" w:hAnsi="굴림" w:hint="default"/>
      </w:rPr>
    </w:lvl>
    <w:lvl w:ilvl="5" w:tplc="0FFEE39A" w:tentative="1">
      <w:start w:val="1"/>
      <w:numFmt w:val="bullet"/>
      <w:lvlText w:val="–"/>
      <w:lvlJc w:val="left"/>
      <w:pPr>
        <w:tabs>
          <w:tab w:val="num" w:pos="4320"/>
        </w:tabs>
        <w:ind w:left="4320" w:hanging="360"/>
      </w:pPr>
      <w:rPr>
        <w:rFonts w:ascii="굴림" w:hAnsi="굴림" w:hint="default"/>
      </w:rPr>
    </w:lvl>
    <w:lvl w:ilvl="6" w:tplc="33FE1238" w:tentative="1">
      <w:start w:val="1"/>
      <w:numFmt w:val="bullet"/>
      <w:lvlText w:val="–"/>
      <w:lvlJc w:val="left"/>
      <w:pPr>
        <w:tabs>
          <w:tab w:val="num" w:pos="5040"/>
        </w:tabs>
        <w:ind w:left="5040" w:hanging="360"/>
      </w:pPr>
      <w:rPr>
        <w:rFonts w:ascii="굴림" w:hAnsi="굴림" w:hint="default"/>
      </w:rPr>
    </w:lvl>
    <w:lvl w:ilvl="7" w:tplc="4A7269E8" w:tentative="1">
      <w:start w:val="1"/>
      <w:numFmt w:val="bullet"/>
      <w:lvlText w:val="–"/>
      <w:lvlJc w:val="left"/>
      <w:pPr>
        <w:tabs>
          <w:tab w:val="num" w:pos="5760"/>
        </w:tabs>
        <w:ind w:left="5760" w:hanging="360"/>
      </w:pPr>
      <w:rPr>
        <w:rFonts w:ascii="굴림" w:hAnsi="굴림" w:hint="default"/>
      </w:rPr>
    </w:lvl>
    <w:lvl w:ilvl="8" w:tplc="76B0BD4E" w:tentative="1">
      <w:start w:val="1"/>
      <w:numFmt w:val="bullet"/>
      <w:lvlText w:val="–"/>
      <w:lvlJc w:val="left"/>
      <w:pPr>
        <w:tabs>
          <w:tab w:val="num" w:pos="6480"/>
        </w:tabs>
        <w:ind w:left="6480" w:hanging="360"/>
      </w:pPr>
      <w:rPr>
        <w:rFonts w:ascii="굴림" w:hAnsi="굴림" w:hint="default"/>
      </w:rPr>
    </w:lvl>
  </w:abstractNum>
  <w:abstractNum w:abstractNumId="12" w15:restartNumberingAfterBreak="0">
    <w:nsid w:val="577B474D"/>
    <w:multiLevelType w:val="hybridMultilevel"/>
    <w:tmpl w:val="44561BEA"/>
    <w:lvl w:ilvl="0" w:tplc="58BC82FE">
      <w:start w:val="1"/>
      <w:numFmt w:val="bullet"/>
      <w:lvlText w:val="–"/>
      <w:lvlJc w:val="left"/>
      <w:pPr>
        <w:tabs>
          <w:tab w:val="num" w:pos="720"/>
        </w:tabs>
        <w:ind w:left="720" w:hanging="360"/>
      </w:pPr>
      <w:rPr>
        <w:rFonts w:ascii="굴림" w:hAnsi="굴림" w:hint="default"/>
      </w:rPr>
    </w:lvl>
    <w:lvl w:ilvl="1" w:tplc="BCB63A0E">
      <w:start w:val="1"/>
      <w:numFmt w:val="bullet"/>
      <w:lvlText w:val="–"/>
      <w:lvlJc w:val="left"/>
      <w:pPr>
        <w:tabs>
          <w:tab w:val="num" w:pos="1440"/>
        </w:tabs>
        <w:ind w:left="1440" w:hanging="360"/>
      </w:pPr>
      <w:rPr>
        <w:rFonts w:ascii="굴림" w:hAnsi="굴림" w:hint="default"/>
      </w:rPr>
    </w:lvl>
    <w:lvl w:ilvl="2" w:tplc="795E81C6" w:tentative="1">
      <w:start w:val="1"/>
      <w:numFmt w:val="bullet"/>
      <w:lvlText w:val="–"/>
      <w:lvlJc w:val="left"/>
      <w:pPr>
        <w:tabs>
          <w:tab w:val="num" w:pos="2160"/>
        </w:tabs>
        <w:ind w:left="2160" w:hanging="360"/>
      </w:pPr>
      <w:rPr>
        <w:rFonts w:ascii="굴림" w:hAnsi="굴림" w:hint="default"/>
      </w:rPr>
    </w:lvl>
    <w:lvl w:ilvl="3" w:tplc="11F2E0BA" w:tentative="1">
      <w:start w:val="1"/>
      <w:numFmt w:val="bullet"/>
      <w:lvlText w:val="–"/>
      <w:lvlJc w:val="left"/>
      <w:pPr>
        <w:tabs>
          <w:tab w:val="num" w:pos="2880"/>
        </w:tabs>
        <w:ind w:left="2880" w:hanging="360"/>
      </w:pPr>
      <w:rPr>
        <w:rFonts w:ascii="굴림" w:hAnsi="굴림" w:hint="default"/>
      </w:rPr>
    </w:lvl>
    <w:lvl w:ilvl="4" w:tplc="BEA6594C" w:tentative="1">
      <w:start w:val="1"/>
      <w:numFmt w:val="bullet"/>
      <w:lvlText w:val="–"/>
      <w:lvlJc w:val="left"/>
      <w:pPr>
        <w:tabs>
          <w:tab w:val="num" w:pos="3600"/>
        </w:tabs>
        <w:ind w:left="3600" w:hanging="360"/>
      </w:pPr>
      <w:rPr>
        <w:rFonts w:ascii="굴림" w:hAnsi="굴림" w:hint="default"/>
      </w:rPr>
    </w:lvl>
    <w:lvl w:ilvl="5" w:tplc="42C61A80" w:tentative="1">
      <w:start w:val="1"/>
      <w:numFmt w:val="bullet"/>
      <w:lvlText w:val="–"/>
      <w:lvlJc w:val="left"/>
      <w:pPr>
        <w:tabs>
          <w:tab w:val="num" w:pos="4320"/>
        </w:tabs>
        <w:ind w:left="4320" w:hanging="360"/>
      </w:pPr>
      <w:rPr>
        <w:rFonts w:ascii="굴림" w:hAnsi="굴림" w:hint="default"/>
      </w:rPr>
    </w:lvl>
    <w:lvl w:ilvl="6" w:tplc="0664985E" w:tentative="1">
      <w:start w:val="1"/>
      <w:numFmt w:val="bullet"/>
      <w:lvlText w:val="–"/>
      <w:lvlJc w:val="left"/>
      <w:pPr>
        <w:tabs>
          <w:tab w:val="num" w:pos="5040"/>
        </w:tabs>
        <w:ind w:left="5040" w:hanging="360"/>
      </w:pPr>
      <w:rPr>
        <w:rFonts w:ascii="굴림" w:hAnsi="굴림" w:hint="default"/>
      </w:rPr>
    </w:lvl>
    <w:lvl w:ilvl="7" w:tplc="E9364FF0" w:tentative="1">
      <w:start w:val="1"/>
      <w:numFmt w:val="bullet"/>
      <w:lvlText w:val="–"/>
      <w:lvlJc w:val="left"/>
      <w:pPr>
        <w:tabs>
          <w:tab w:val="num" w:pos="5760"/>
        </w:tabs>
        <w:ind w:left="5760" w:hanging="360"/>
      </w:pPr>
      <w:rPr>
        <w:rFonts w:ascii="굴림" w:hAnsi="굴림" w:hint="default"/>
      </w:rPr>
    </w:lvl>
    <w:lvl w:ilvl="8" w:tplc="3BD48528"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65897AF7"/>
    <w:multiLevelType w:val="hybridMultilevel"/>
    <w:tmpl w:val="3DB6DC20"/>
    <w:lvl w:ilvl="0" w:tplc="04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0"/>
  </w:num>
  <w:num w:numId="5">
    <w:abstractNumId w:val="14"/>
  </w:num>
  <w:num w:numId="6">
    <w:abstractNumId w:val="5"/>
  </w:num>
  <w:num w:numId="7">
    <w:abstractNumId w:val="9"/>
  </w:num>
  <w:num w:numId="8">
    <w:abstractNumId w:val="4"/>
  </w:num>
  <w:num w:numId="9">
    <w:abstractNumId w:val="8"/>
  </w:num>
  <w:num w:numId="10">
    <w:abstractNumId w:val="0"/>
  </w:num>
  <w:num w:numId="11">
    <w:abstractNumId w:val="11"/>
  </w:num>
  <w:num w:numId="12">
    <w:abstractNumId w:val="6"/>
  </w:num>
  <w:num w:numId="13">
    <w:abstractNumId w:val="13"/>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52F7"/>
    <w:rsid w:val="000113B4"/>
    <w:rsid w:val="000159BB"/>
    <w:rsid w:val="00015EC2"/>
    <w:rsid w:val="0002084E"/>
    <w:rsid w:val="00020DCB"/>
    <w:rsid w:val="00024BAA"/>
    <w:rsid w:val="00042F69"/>
    <w:rsid w:val="0004773C"/>
    <w:rsid w:val="00051302"/>
    <w:rsid w:val="0005500D"/>
    <w:rsid w:val="00056480"/>
    <w:rsid w:val="0006023B"/>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E4F1A"/>
    <w:rsid w:val="000F0CE6"/>
    <w:rsid w:val="001012D0"/>
    <w:rsid w:val="00106CBC"/>
    <w:rsid w:val="001075FA"/>
    <w:rsid w:val="00121440"/>
    <w:rsid w:val="001542F2"/>
    <w:rsid w:val="00157C17"/>
    <w:rsid w:val="00157F8D"/>
    <w:rsid w:val="00176A9A"/>
    <w:rsid w:val="00180C7D"/>
    <w:rsid w:val="001846CB"/>
    <w:rsid w:val="00184A2F"/>
    <w:rsid w:val="001A4A28"/>
    <w:rsid w:val="001C6EF1"/>
    <w:rsid w:val="001D2E89"/>
    <w:rsid w:val="001E1EF6"/>
    <w:rsid w:val="001E3220"/>
    <w:rsid w:val="001E5B62"/>
    <w:rsid w:val="001F1712"/>
    <w:rsid w:val="00204413"/>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E9D"/>
    <w:rsid w:val="00354C2C"/>
    <w:rsid w:val="003641BC"/>
    <w:rsid w:val="0037436A"/>
    <w:rsid w:val="00376F03"/>
    <w:rsid w:val="00381412"/>
    <w:rsid w:val="003A3F1C"/>
    <w:rsid w:val="003A48BF"/>
    <w:rsid w:val="003A7244"/>
    <w:rsid w:val="003C673A"/>
    <w:rsid w:val="003C6E46"/>
    <w:rsid w:val="003D317B"/>
    <w:rsid w:val="003E41DD"/>
    <w:rsid w:val="003E7DD0"/>
    <w:rsid w:val="003F2A9A"/>
    <w:rsid w:val="003F5091"/>
    <w:rsid w:val="00401126"/>
    <w:rsid w:val="0040297A"/>
    <w:rsid w:val="00410363"/>
    <w:rsid w:val="00415406"/>
    <w:rsid w:val="004227AE"/>
    <w:rsid w:val="00423CDE"/>
    <w:rsid w:val="00431DA7"/>
    <w:rsid w:val="00444A4E"/>
    <w:rsid w:val="00450F15"/>
    <w:rsid w:val="0045184F"/>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87B7A"/>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2771D"/>
    <w:rsid w:val="006326E8"/>
    <w:rsid w:val="0063274C"/>
    <w:rsid w:val="00636F2A"/>
    <w:rsid w:val="00640D6C"/>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5E44"/>
    <w:rsid w:val="006E36A5"/>
    <w:rsid w:val="006E50F5"/>
    <w:rsid w:val="00706CDE"/>
    <w:rsid w:val="0071036B"/>
    <w:rsid w:val="00713641"/>
    <w:rsid w:val="0071403A"/>
    <w:rsid w:val="0071742D"/>
    <w:rsid w:val="00717F97"/>
    <w:rsid w:val="00733F09"/>
    <w:rsid w:val="00737CC0"/>
    <w:rsid w:val="00744E55"/>
    <w:rsid w:val="0074593E"/>
    <w:rsid w:val="00746FAA"/>
    <w:rsid w:val="00753386"/>
    <w:rsid w:val="00755FAB"/>
    <w:rsid w:val="00757B6E"/>
    <w:rsid w:val="007629C6"/>
    <w:rsid w:val="00773064"/>
    <w:rsid w:val="007A3783"/>
    <w:rsid w:val="007E75ED"/>
    <w:rsid w:val="007F34FD"/>
    <w:rsid w:val="007F6A8B"/>
    <w:rsid w:val="00815E60"/>
    <w:rsid w:val="008232F6"/>
    <w:rsid w:val="008267B0"/>
    <w:rsid w:val="00832CB5"/>
    <w:rsid w:val="008347AE"/>
    <w:rsid w:val="008449DA"/>
    <w:rsid w:val="008478AE"/>
    <w:rsid w:val="00873736"/>
    <w:rsid w:val="008762D1"/>
    <w:rsid w:val="00876FB9"/>
    <w:rsid w:val="00881883"/>
    <w:rsid w:val="00890410"/>
    <w:rsid w:val="008C3E64"/>
    <w:rsid w:val="008E259A"/>
    <w:rsid w:val="008F127C"/>
    <w:rsid w:val="008F7E4B"/>
    <w:rsid w:val="0090464E"/>
    <w:rsid w:val="00912EC1"/>
    <w:rsid w:val="009243CA"/>
    <w:rsid w:val="0092461C"/>
    <w:rsid w:val="009318A3"/>
    <w:rsid w:val="00932059"/>
    <w:rsid w:val="0093284F"/>
    <w:rsid w:val="0094199E"/>
    <w:rsid w:val="0095254B"/>
    <w:rsid w:val="00961DED"/>
    <w:rsid w:val="009652F8"/>
    <w:rsid w:val="00965830"/>
    <w:rsid w:val="0097506C"/>
    <w:rsid w:val="0097632D"/>
    <w:rsid w:val="009821FA"/>
    <w:rsid w:val="009831D6"/>
    <w:rsid w:val="009962D2"/>
    <w:rsid w:val="009A58F4"/>
    <w:rsid w:val="009A72C2"/>
    <w:rsid w:val="009B5589"/>
    <w:rsid w:val="009C2B13"/>
    <w:rsid w:val="009C7230"/>
    <w:rsid w:val="009D029E"/>
    <w:rsid w:val="009D100D"/>
    <w:rsid w:val="009D45C8"/>
    <w:rsid w:val="009D4796"/>
    <w:rsid w:val="009D7181"/>
    <w:rsid w:val="009E1D60"/>
    <w:rsid w:val="009E3CCD"/>
    <w:rsid w:val="00A01E4C"/>
    <w:rsid w:val="00A01EEA"/>
    <w:rsid w:val="00A05607"/>
    <w:rsid w:val="00A05DFF"/>
    <w:rsid w:val="00A0722D"/>
    <w:rsid w:val="00A201D8"/>
    <w:rsid w:val="00A21D49"/>
    <w:rsid w:val="00A26520"/>
    <w:rsid w:val="00A273EE"/>
    <w:rsid w:val="00A42B5A"/>
    <w:rsid w:val="00A431E4"/>
    <w:rsid w:val="00A51784"/>
    <w:rsid w:val="00A57501"/>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CF681F"/>
    <w:rsid w:val="00D060EC"/>
    <w:rsid w:val="00D06406"/>
    <w:rsid w:val="00D10C3F"/>
    <w:rsid w:val="00D1412F"/>
    <w:rsid w:val="00D1584C"/>
    <w:rsid w:val="00D16BB4"/>
    <w:rsid w:val="00D23A5D"/>
    <w:rsid w:val="00D27351"/>
    <w:rsid w:val="00D443E4"/>
    <w:rsid w:val="00D50EB1"/>
    <w:rsid w:val="00D5347A"/>
    <w:rsid w:val="00D74740"/>
    <w:rsid w:val="00D757C9"/>
    <w:rsid w:val="00D87DC1"/>
    <w:rsid w:val="00DA136C"/>
    <w:rsid w:val="00DA5BC8"/>
    <w:rsid w:val="00DA6923"/>
    <w:rsid w:val="00DB060F"/>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5D4D"/>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777B"/>
    <w:rsid w:val="00F8345D"/>
    <w:rsid w:val="00F874C4"/>
    <w:rsid w:val="00F94562"/>
    <w:rsid w:val="00F951AA"/>
    <w:rsid w:val="00FA1B4A"/>
    <w:rsid w:val="00FA320A"/>
    <w:rsid w:val="00FB4205"/>
    <w:rsid w:val="00FC1CC2"/>
    <w:rsid w:val="00FC4420"/>
    <w:rsid w:val="00FC47D9"/>
    <w:rsid w:val="00FE254B"/>
    <w:rsid w:val="00FE2F14"/>
    <w:rsid w:val="00FE4BD2"/>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CommonData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CohortMetho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73737-5EF5-4536-8A29-996C45BD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11767</Words>
  <Characters>67073</Characters>
  <Application>Microsoft Office Word</Application>
  <DocSecurity>0</DocSecurity>
  <Lines>558</Lines>
  <Paragraphs>157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Johnson &amp; Johnson</Company>
  <LinksUpToDate>false</LinksUpToDate>
  <CharactersWithSpaces>78683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유승찬</cp:lastModifiedBy>
  <cp:revision>9</cp:revision>
  <dcterms:created xsi:type="dcterms:W3CDTF">2017-01-02T11:01:00Z</dcterms:created>
  <dcterms:modified xsi:type="dcterms:W3CDTF">2017-01-02T11:26:00Z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id="ixm91iDV"/&gt;&lt;style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