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CASE STUDY PROJECT</w:t>
      </w:r>
    </w:p>
    <w:p>
      <w:pPr>
        <w:jc w:val="center"/>
      </w:pPr>
      <w:r>
        <w:rPr>
          <w:b/>
        </w:rPr>
        <w:t>Unlocking Revenue: Identifying Bottlenecks in Regional Sales Pipeline</w:t>
      </w:r>
    </w:p>
    <w:p>
      <w:r>
        <w:t>Tools: MySQL for analysis • Microsoft Excel for dashboard and visualisation</w:t>
      </w:r>
    </w:p>
    <w:p>
      <w:pPr>
        <w:pStyle w:val="Heading1"/>
      </w:pPr>
      <w:r>
        <w:t>1. Business Problem</w:t>
      </w:r>
    </w:p>
    <w:p>
      <w:r>
        <w:t>A retail chain is experiencing inconsistent sales across its East, West, North and South regions. Management needs to identify weak areas, cancelled and returned orders, product/category opportunities, and sales-agent performance.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Analyse monthly completed revenue across regions.</w:t>
      </w:r>
    </w:p>
    <w:p>
      <w:pPr>
        <w:pStyle w:val="ListBullet"/>
      </w:pPr>
      <w:r>
        <w:t>Calculate cancellation and return percentages by region.</w:t>
      </w:r>
    </w:p>
    <w:p>
      <w:pPr>
        <w:pStyle w:val="ListBullet"/>
      </w:pPr>
      <w:r>
        <w:t>Identify the top 3 region/product combinations with the largest potential revenue loss.</w:t>
      </w:r>
    </w:p>
    <w:p>
      <w:pPr>
        <w:pStyle w:val="ListBullet"/>
      </w:pPr>
      <w:r>
        <w:t>Compare average order value by category.</w:t>
      </w:r>
    </w:p>
    <w:p>
      <w:pPr>
        <w:pStyle w:val="ListBullet"/>
      </w:pPr>
      <w:r>
        <w:t>Rank the top 5 sales agents by completed revenue.</w:t>
      </w:r>
    </w:p>
    <w:p>
      <w:pPr>
        <w:pStyle w:val="ListBullet"/>
      </w:pPr>
      <w:r>
        <w:t>Calculate category-wise sales and percentage contribution.</w:t>
      </w:r>
    </w:p>
    <w:p>
      <w:pPr>
        <w:pStyle w:val="ListBullet"/>
      </w:pPr>
      <w:r>
        <w:t>Identify customers with at least 3 returned orders.</w:t>
      </w:r>
    </w:p>
    <w:p>
      <w:pPr>
        <w:pStyle w:val="ListBullet"/>
      </w:pPr>
      <w:r>
        <w:t>Present key findings using Excel charts and KPI summaries.</w:t>
      </w:r>
    </w:p>
    <w:p>
      <w:pPr>
        <w:pStyle w:val="Heading1"/>
      </w:pPr>
      <w:r>
        <w:t>3. Dataset Structure</w:t>
      </w:r>
    </w:p>
    <w:p>
      <w:r>
        <w:t>The provided project package includes a generated sample CSV with 1,000 records. Fields: OrderID, Date, CustomerID, Region, ProductName, Category, Quantity, UnitPrice, TotalAmount, OrderStatus and SalesAgent. TotalAmount = Quantity × UnitPrice. OrderStatus values are Completed, Cancelled and Returned.</w:t>
      </w:r>
    </w:p>
    <w:p>
      <w:r>
        <w:t>Important: this is generated sample data because the original class-provided CSV was not attached. Replace it with the official RegionalSales2025.csv to calculate official exam results.</w:t>
      </w:r>
    </w:p>
    <w:p>
      <w:pPr>
        <w:pStyle w:val="Heading1"/>
      </w:pPr>
      <w:r>
        <w:t>4. SQL Analysis — Results from Sample Data</w:t>
      </w:r>
    </w:p>
    <w:p>
      <w:r>
        <w:t>Total rows: 1,000 | Completed orders: 784 | Cancelled orders: 129 | Returned orders: 87</w:t>
      </w:r>
    </w:p>
    <w:p>
      <w:r>
        <w:t>Completed revenue: 841,826.07 | Total transaction amount across all statuses: 1,093,429.78 | Average order value: 1,093.43</w:t>
      </w:r>
    </w:p>
    <w:p>
      <w:pPr>
        <w:pStyle w:val="Heading2"/>
      </w:pPr>
      <w:r>
        <w:t>Monthly completed revenue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Month</w:t>
            </w:r>
          </w:p>
        </w:tc>
        <w:tc>
          <w:tcPr>
            <w:tcW w:type="dxa" w:w="4320"/>
          </w:tcPr>
          <w:p>
            <w:r>
              <w:t>Completed Revenue</w:t>
            </w:r>
          </w:p>
        </w:tc>
      </w:tr>
      <w:tr>
        <w:tc>
          <w:tcPr>
            <w:tcW w:type="dxa" w:w="4320"/>
          </w:tcPr>
          <w:p>
            <w:r>
              <w:t>2025-01</w:t>
            </w:r>
          </w:p>
        </w:tc>
        <w:tc>
          <w:tcPr>
            <w:tcW w:type="dxa" w:w="4320"/>
          </w:tcPr>
          <w:p>
            <w:r>
              <w:t>72,862.50</w:t>
            </w:r>
          </w:p>
        </w:tc>
      </w:tr>
      <w:tr>
        <w:tc>
          <w:tcPr>
            <w:tcW w:type="dxa" w:w="4320"/>
          </w:tcPr>
          <w:p>
            <w:r>
              <w:t>2025-02</w:t>
            </w:r>
          </w:p>
        </w:tc>
        <w:tc>
          <w:tcPr>
            <w:tcW w:type="dxa" w:w="4320"/>
          </w:tcPr>
          <w:p>
            <w:r>
              <w:t>61,425.61</w:t>
            </w:r>
          </w:p>
        </w:tc>
      </w:tr>
      <w:tr>
        <w:tc>
          <w:tcPr>
            <w:tcW w:type="dxa" w:w="4320"/>
          </w:tcPr>
          <w:p>
            <w:r>
              <w:t>2025-03</w:t>
            </w:r>
          </w:p>
        </w:tc>
        <w:tc>
          <w:tcPr>
            <w:tcW w:type="dxa" w:w="4320"/>
          </w:tcPr>
          <w:p>
            <w:r>
              <w:t>40,454.76</w:t>
            </w:r>
          </w:p>
        </w:tc>
      </w:tr>
      <w:tr>
        <w:tc>
          <w:tcPr>
            <w:tcW w:type="dxa" w:w="4320"/>
          </w:tcPr>
          <w:p>
            <w:r>
              <w:t>2025-04</w:t>
            </w:r>
          </w:p>
        </w:tc>
        <w:tc>
          <w:tcPr>
            <w:tcW w:type="dxa" w:w="4320"/>
          </w:tcPr>
          <w:p>
            <w:r>
              <w:t>86,373.41</w:t>
            </w:r>
          </w:p>
        </w:tc>
      </w:tr>
      <w:tr>
        <w:tc>
          <w:tcPr>
            <w:tcW w:type="dxa" w:w="4320"/>
          </w:tcPr>
          <w:p>
            <w:r>
              <w:t>2025-05</w:t>
            </w:r>
          </w:p>
        </w:tc>
        <w:tc>
          <w:tcPr>
            <w:tcW w:type="dxa" w:w="4320"/>
          </w:tcPr>
          <w:p>
            <w:r>
              <w:t>92,240.49</w:t>
            </w:r>
          </w:p>
        </w:tc>
      </w:tr>
      <w:tr>
        <w:tc>
          <w:tcPr>
            <w:tcW w:type="dxa" w:w="4320"/>
          </w:tcPr>
          <w:p>
            <w:r>
              <w:t>2025-06</w:t>
            </w:r>
          </w:p>
        </w:tc>
        <w:tc>
          <w:tcPr>
            <w:tcW w:type="dxa" w:w="4320"/>
          </w:tcPr>
          <w:p>
            <w:r>
              <w:t>73,953.38</w:t>
            </w:r>
          </w:p>
        </w:tc>
      </w:tr>
      <w:tr>
        <w:tc>
          <w:tcPr>
            <w:tcW w:type="dxa" w:w="4320"/>
          </w:tcPr>
          <w:p>
            <w:r>
              <w:t>2025-07</w:t>
            </w:r>
          </w:p>
        </w:tc>
        <w:tc>
          <w:tcPr>
            <w:tcW w:type="dxa" w:w="4320"/>
          </w:tcPr>
          <w:p>
            <w:r>
              <w:t>47,544.86</w:t>
            </w:r>
          </w:p>
        </w:tc>
      </w:tr>
      <w:tr>
        <w:tc>
          <w:tcPr>
            <w:tcW w:type="dxa" w:w="4320"/>
          </w:tcPr>
          <w:p>
            <w:r>
              <w:t>2025-08</w:t>
            </w:r>
          </w:p>
        </w:tc>
        <w:tc>
          <w:tcPr>
            <w:tcW w:type="dxa" w:w="4320"/>
          </w:tcPr>
          <w:p>
            <w:r>
              <w:t>70,700.82</w:t>
            </w:r>
          </w:p>
        </w:tc>
      </w:tr>
      <w:tr>
        <w:tc>
          <w:tcPr>
            <w:tcW w:type="dxa" w:w="4320"/>
          </w:tcPr>
          <w:p>
            <w:r>
              <w:t>2025-09</w:t>
            </w:r>
          </w:p>
        </w:tc>
        <w:tc>
          <w:tcPr>
            <w:tcW w:type="dxa" w:w="4320"/>
          </w:tcPr>
          <w:p>
            <w:r>
              <w:t>45,506.11</w:t>
            </w:r>
          </w:p>
        </w:tc>
      </w:tr>
      <w:tr>
        <w:tc>
          <w:tcPr>
            <w:tcW w:type="dxa" w:w="4320"/>
          </w:tcPr>
          <w:p>
            <w:r>
              <w:t>2025-10</w:t>
            </w:r>
          </w:p>
        </w:tc>
        <w:tc>
          <w:tcPr>
            <w:tcW w:type="dxa" w:w="4320"/>
          </w:tcPr>
          <w:p>
            <w:r>
              <w:t>84,108.34</w:t>
            </w:r>
          </w:p>
        </w:tc>
      </w:tr>
      <w:tr>
        <w:tc>
          <w:tcPr>
            <w:tcW w:type="dxa" w:w="4320"/>
          </w:tcPr>
          <w:p>
            <w:r>
              <w:t>2025-11</w:t>
            </w:r>
          </w:p>
        </w:tc>
        <w:tc>
          <w:tcPr>
            <w:tcW w:type="dxa" w:w="4320"/>
          </w:tcPr>
          <w:p>
            <w:r>
              <w:t>75,531.15</w:t>
            </w:r>
          </w:p>
        </w:tc>
      </w:tr>
      <w:tr>
        <w:tc>
          <w:tcPr>
            <w:tcW w:type="dxa" w:w="4320"/>
          </w:tcPr>
          <w:p>
            <w:r>
              <w:t>2025-12</w:t>
            </w:r>
          </w:p>
        </w:tc>
        <w:tc>
          <w:tcPr>
            <w:tcW w:type="dxa" w:w="4320"/>
          </w:tcPr>
          <w:p>
            <w:r>
              <w:t>91,124.64</w:t>
            </w:r>
          </w:p>
        </w:tc>
      </w:tr>
    </w:tbl>
    <w:p>
      <w:pPr>
        <w:pStyle w:val="Heading2"/>
      </w:pPr>
      <w:r>
        <w:t>Cancellation and return percentage by region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Total Orders</w:t>
            </w:r>
          </w:p>
        </w:tc>
        <w:tc>
          <w:tcPr>
            <w:tcW w:type="dxa" w:w="2160"/>
          </w:tcPr>
          <w:p>
            <w:r>
              <w:t>Cancelled %</w:t>
            </w:r>
          </w:p>
        </w:tc>
        <w:tc>
          <w:tcPr>
            <w:tcW w:type="dxa" w:w="2160"/>
          </w:tcPr>
          <w:p>
            <w:r>
              <w:t>Returned %</w:t>
            </w:r>
          </w:p>
        </w:tc>
      </w:tr>
      <w:tr>
        <w:tc>
          <w:tcPr>
            <w:tcW w:type="dxa" w:w="2160"/>
          </w:tcPr>
          <w:p>
            <w:r>
              <w:t>East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8.59%</w:t>
            </w:r>
          </w:p>
        </w:tc>
        <w:tc>
          <w:tcPr>
            <w:tcW w:type="dxa" w:w="2160"/>
          </w:tcPr>
          <w:p>
            <w:r>
              <w:t>7.07%</w:t>
            </w:r>
          </w:p>
        </w:tc>
      </w:tr>
      <w:tr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14.51%</w:t>
            </w:r>
          </w:p>
        </w:tc>
        <w:tc>
          <w:tcPr>
            <w:tcW w:type="dxa" w:w="2160"/>
          </w:tcPr>
          <w:p>
            <w:r>
              <w:t>8.81%</w:t>
            </w:r>
          </w:p>
        </w:tc>
      </w:tr>
      <w:tr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14.74%</w:t>
            </w:r>
          </w:p>
        </w:tc>
        <w:tc>
          <w:tcPr>
            <w:tcW w:type="dxa" w:w="2160"/>
          </w:tcPr>
          <w:p>
            <w:r>
              <w:t>8.65%</w:t>
            </w:r>
          </w:p>
        </w:tc>
      </w:tr>
      <w:tr>
        <w:tc>
          <w:tcPr>
            <w:tcW w:type="dxa" w:w="2160"/>
          </w:tcPr>
          <w:p>
            <w:r>
              <w:t>West</w:t>
            </w:r>
          </w:p>
        </w:tc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12.79%</w:t>
            </w:r>
          </w:p>
        </w:tc>
        <w:tc>
          <w:tcPr>
            <w:tcW w:type="dxa" w:w="2160"/>
          </w:tcPr>
          <w:p>
            <w:r>
              <w:t>9.76%</w:t>
            </w:r>
          </w:p>
        </w:tc>
      </w:tr>
    </w:tbl>
    <w:p>
      <w:pPr>
        <w:pStyle w:val="Heading2"/>
      </w:pPr>
      <w:r>
        <w:t>Top 3 region/product combinations by potential revenue loss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Potential Revenue Loss</w:t>
            </w:r>
          </w:p>
        </w:tc>
      </w:tr>
      <w:tr>
        <w:tc>
          <w:tcPr>
            <w:tcW w:type="dxa" w:w="2880"/>
          </w:tcPr>
          <w:p>
            <w:r>
              <w:t>East</w:t>
            </w:r>
          </w:p>
        </w:tc>
        <w:tc>
          <w:tcPr>
            <w:tcW w:type="dxa" w:w="2880"/>
          </w:tcPr>
          <w:p>
            <w:r>
              <w:t>Bedside Table</w:t>
            </w:r>
          </w:p>
        </w:tc>
        <w:tc>
          <w:tcPr>
            <w:tcW w:type="dxa" w:w="2880"/>
          </w:tcPr>
          <w:p>
            <w:r>
              <w:t>18,584.82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Study Table</w:t>
            </w:r>
          </w:p>
        </w:tc>
        <w:tc>
          <w:tcPr>
            <w:tcW w:type="dxa" w:w="2880"/>
          </w:tcPr>
          <w:p>
            <w:r>
              <w:t>16,368.35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Tablet</w:t>
            </w:r>
          </w:p>
        </w:tc>
        <w:tc>
          <w:tcPr>
            <w:tcW w:type="dxa" w:w="2880"/>
          </w:tcPr>
          <w:p>
            <w:r>
              <w:t>15,240.04</w:t>
            </w:r>
          </w:p>
        </w:tc>
      </w:tr>
    </w:tbl>
    <w:p>
      <w:pPr>
        <w:pStyle w:val="Heading2"/>
      </w:pPr>
      <w:r>
        <w:t>Average order value by category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Average Order Value</w:t>
            </w:r>
          </w:p>
        </w:tc>
      </w:tr>
      <w:tr>
        <w:tc>
          <w:tcPr>
            <w:tcW w:type="dxa" w:w="4320"/>
          </w:tcPr>
          <w:p>
            <w:r>
              <w:t>Furniture</w:t>
            </w:r>
          </w:p>
        </w:tc>
        <w:tc>
          <w:tcPr>
            <w:tcW w:type="dxa" w:w="4320"/>
          </w:tcPr>
          <w:p>
            <w:r>
              <w:t>2,415.21</w:t>
            </w:r>
          </w:p>
        </w:tc>
      </w:tr>
      <w:tr>
        <w:tc>
          <w:tcPr>
            <w:tcW w:type="dxa" w:w="4320"/>
          </w:tcPr>
          <w:p>
            <w:r>
              <w:t>Electronics</w:t>
            </w:r>
          </w:p>
        </w:tc>
        <w:tc>
          <w:tcPr>
            <w:tcW w:type="dxa" w:w="4320"/>
          </w:tcPr>
          <w:p>
            <w:r>
              <w:t>2,028.65</w:t>
            </w:r>
          </w:p>
        </w:tc>
      </w:tr>
      <w:tr>
        <w:tc>
          <w:tcPr>
            <w:tcW w:type="dxa" w:w="4320"/>
          </w:tcPr>
          <w:p>
            <w:r>
              <w:t>Home &amp; Kitchen</w:t>
            </w:r>
          </w:p>
        </w:tc>
        <w:tc>
          <w:tcPr>
            <w:tcW w:type="dxa" w:w="4320"/>
          </w:tcPr>
          <w:p>
            <w:r>
              <w:t>495.58</w:t>
            </w:r>
          </w:p>
        </w:tc>
      </w:tr>
      <w:tr>
        <w:tc>
          <w:tcPr>
            <w:tcW w:type="dxa" w:w="4320"/>
          </w:tcPr>
          <w:p>
            <w:r>
              <w:t>Clothing</w:t>
            </w:r>
          </w:p>
        </w:tc>
        <w:tc>
          <w:tcPr>
            <w:tcW w:type="dxa" w:w="4320"/>
          </w:tcPr>
          <w:p>
            <w:r>
              <w:t>241.16</w:t>
            </w:r>
          </w:p>
        </w:tc>
      </w:tr>
      <w:tr>
        <w:tc>
          <w:tcPr>
            <w:tcW w:type="dxa" w:w="4320"/>
          </w:tcPr>
          <w:p>
            <w:r>
              <w:t>Beauty</w:t>
            </w:r>
          </w:p>
        </w:tc>
        <w:tc>
          <w:tcPr>
            <w:tcW w:type="dxa" w:w="4320"/>
          </w:tcPr>
          <w:p>
            <w:r>
              <w:t>185.58</w:t>
            </w:r>
          </w:p>
        </w:tc>
      </w:tr>
    </w:tbl>
    <w:p>
      <w:pPr>
        <w:pStyle w:val="Heading2"/>
      </w:pPr>
      <w:r>
        <w:t>Top 5 sales agents by completed revenue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Sales Agent</w:t>
            </w:r>
          </w:p>
        </w:tc>
        <w:tc>
          <w:tcPr>
            <w:tcW w:type="dxa" w:w="4320"/>
          </w:tcPr>
          <w:p>
            <w:r>
              <w:t>Completed Revenue</w:t>
            </w:r>
          </w:p>
        </w:tc>
      </w:tr>
      <w:tr>
        <w:tc>
          <w:tcPr>
            <w:tcW w:type="dxa" w:w="4320"/>
          </w:tcPr>
          <w:p>
            <w:r>
              <w:t>Aarav Shah</w:t>
            </w:r>
          </w:p>
        </w:tc>
        <w:tc>
          <w:tcPr>
            <w:tcW w:type="dxa" w:w="4320"/>
          </w:tcPr>
          <w:p>
            <w:r>
              <w:t>140,901.20</w:t>
            </w:r>
          </w:p>
        </w:tc>
      </w:tr>
      <w:tr>
        <w:tc>
          <w:tcPr>
            <w:tcW w:type="dxa" w:w="4320"/>
          </w:tcPr>
          <w:p>
            <w:r>
              <w:t>Mira Trivedi</w:t>
            </w:r>
          </w:p>
        </w:tc>
        <w:tc>
          <w:tcPr>
            <w:tcW w:type="dxa" w:w="4320"/>
          </w:tcPr>
          <w:p>
            <w:r>
              <w:t>116,632.39</w:t>
            </w:r>
          </w:p>
        </w:tc>
      </w:tr>
      <w:tr>
        <w:tc>
          <w:tcPr>
            <w:tcW w:type="dxa" w:w="4320"/>
          </w:tcPr>
          <w:p>
            <w:r>
              <w:t>Vivaan Joshi</w:t>
            </w:r>
          </w:p>
        </w:tc>
        <w:tc>
          <w:tcPr>
            <w:tcW w:type="dxa" w:w="4320"/>
          </w:tcPr>
          <w:p>
            <w:r>
              <w:t>111,095.76</w:t>
            </w:r>
          </w:p>
        </w:tc>
      </w:tr>
      <w:tr>
        <w:tc>
          <w:tcPr>
            <w:tcW w:type="dxa" w:w="4320"/>
          </w:tcPr>
          <w:p>
            <w:r>
              <w:t>Kabir Patel</w:t>
            </w:r>
          </w:p>
        </w:tc>
        <w:tc>
          <w:tcPr>
            <w:tcW w:type="dxa" w:w="4320"/>
          </w:tcPr>
          <w:p>
            <w:r>
              <w:t>99,436.27</w:t>
            </w:r>
          </w:p>
        </w:tc>
      </w:tr>
      <w:tr>
        <w:tc>
          <w:tcPr>
            <w:tcW w:type="dxa" w:w="4320"/>
          </w:tcPr>
          <w:p>
            <w:r>
              <w:t>Rohan Mehta</w:t>
            </w:r>
          </w:p>
        </w:tc>
        <w:tc>
          <w:tcPr>
            <w:tcW w:type="dxa" w:w="4320"/>
          </w:tcPr>
          <w:p>
            <w:r>
              <w:t>99,170.37</w:t>
            </w:r>
          </w:p>
        </w:tc>
      </w:tr>
    </w:tbl>
    <w:p>
      <w:pPr>
        <w:pStyle w:val="Heading2"/>
      </w:pPr>
      <w:r>
        <w:t>Category-wise sales and contribution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Total Sales</w:t>
            </w:r>
          </w:p>
        </w:tc>
        <w:tc>
          <w:tcPr>
            <w:tcW w:type="dxa" w:w="2880"/>
          </w:tcPr>
          <w:p>
            <w:r>
              <w:t>Contribution %</w:t>
            </w:r>
          </w:p>
        </w:tc>
      </w:tr>
      <w:tr>
        <w:tc>
          <w:tcPr>
            <w:tcW w:type="dxa" w:w="2880"/>
          </w:tcPr>
          <w:p>
            <w:r>
              <w:t>Furniture</w:t>
            </w:r>
          </w:p>
        </w:tc>
        <w:tc>
          <w:tcPr>
            <w:tcW w:type="dxa" w:w="2880"/>
          </w:tcPr>
          <w:p>
            <w:r>
              <w:t>516,854.06</w:t>
            </w:r>
          </w:p>
        </w:tc>
        <w:tc>
          <w:tcPr>
            <w:tcW w:type="dxa" w:w="2880"/>
          </w:tcPr>
          <w:p>
            <w:r>
              <w:t>47.27%</w:t>
            </w:r>
          </w:p>
        </w:tc>
      </w:tr>
      <w:tr>
        <w:tc>
          <w:tcPr>
            <w:tcW w:type="dxa" w:w="2880"/>
          </w:tcPr>
          <w:p>
            <w:r>
              <w:t>Electronics</w:t>
            </w:r>
          </w:p>
        </w:tc>
        <w:tc>
          <w:tcPr>
            <w:tcW w:type="dxa" w:w="2880"/>
          </w:tcPr>
          <w:p>
            <w:r>
              <w:t>395,585.93</w:t>
            </w:r>
          </w:p>
        </w:tc>
        <w:tc>
          <w:tcPr>
            <w:tcW w:type="dxa" w:w="2880"/>
          </w:tcPr>
          <w:p>
            <w:r>
              <w:t>36.18%</w:t>
            </w:r>
          </w:p>
        </w:tc>
      </w:tr>
      <w:tr>
        <w:tc>
          <w:tcPr>
            <w:tcW w:type="dxa" w:w="2880"/>
          </w:tcPr>
          <w:p>
            <w:r>
              <w:t>Home &amp; Kitchen</w:t>
            </w:r>
          </w:p>
        </w:tc>
        <w:tc>
          <w:tcPr>
            <w:tcW w:type="dxa" w:w="2880"/>
          </w:tcPr>
          <w:p>
            <w:r>
              <w:t>96,143.33</w:t>
            </w:r>
          </w:p>
        </w:tc>
        <w:tc>
          <w:tcPr>
            <w:tcW w:type="dxa" w:w="2880"/>
          </w:tcPr>
          <w:p>
            <w:r>
              <w:t>8.79%</w:t>
            </w:r>
          </w:p>
        </w:tc>
      </w:tr>
      <w:tr>
        <w:tc>
          <w:tcPr>
            <w:tcW w:type="dxa" w:w="2880"/>
          </w:tcPr>
          <w:p>
            <w:r>
              <w:t>Clothing</w:t>
            </w:r>
          </w:p>
        </w:tc>
        <w:tc>
          <w:tcPr>
            <w:tcW w:type="dxa" w:w="2880"/>
          </w:tcPr>
          <w:p>
            <w:r>
              <w:t>48,472.69</w:t>
            </w:r>
          </w:p>
        </w:tc>
        <w:tc>
          <w:tcPr>
            <w:tcW w:type="dxa" w:w="2880"/>
          </w:tcPr>
          <w:p>
            <w:r>
              <w:t>4.43%</w:t>
            </w:r>
          </w:p>
        </w:tc>
      </w:tr>
      <w:tr>
        <w:tc>
          <w:tcPr>
            <w:tcW w:type="dxa" w:w="2880"/>
          </w:tcPr>
          <w:p>
            <w:r>
              <w:t>Beauty</w:t>
            </w:r>
          </w:p>
        </w:tc>
        <w:tc>
          <w:tcPr>
            <w:tcW w:type="dxa" w:w="2880"/>
          </w:tcPr>
          <w:p>
            <w:r>
              <w:t>36,373.77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>
      <w:pPr>
        <w:pStyle w:val="Heading2"/>
      </w:pPr>
      <w:r>
        <w:t>Customers with 3 or more returned orders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ID</w:t>
            </w:r>
          </w:p>
        </w:tc>
        <w:tc>
          <w:tcPr>
            <w:tcW w:type="dxa" w:w="4320"/>
          </w:tcPr>
          <w:p>
            <w:r>
              <w:t>Return Count</w:t>
            </w:r>
          </w:p>
        </w:tc>
      </w:tr>
      <w:tr>
        <w:tc>
          <w:tcPr>
            <w:tcW w:type="dxa" w:w="4320"/>
          </w:tcPr>
          <w:p>
            <w:r>
              <w:t>CUST0234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5. Dashboard Design</w:t>
      </w:r>
    </w:p>
    <w:p>
      <w:pPr>
        <w:pStyle w:val="ListBullet"/>
      </w:pPr>
      <w:r>
        <w:t>Heatmap/Matrix: Region versus Category Sales using the RegionCategory sheet.</w:t>
      </w:r>
    </w:p>
    <w:p>
      <w:pPr>
        <w:pStyle w:val="ListBullet"/>
      </w:pPr>
      <w:r>
        <w:t>Stacked bar chart: OrderStatus by Region using the StatusCounts sheet.</w:t>
      </w:r>
    </w:p>
    <w:p>
      <w:pPr>
        <w:pStyle w:val="ListBullet"/>
      </w:pPr>
      <w:r>
        <w:t>Line chart: monthly completed revenue using the MonthlyTrend sheet.</w:t>
      </w:r>
    </w:p>
    <w:p>
      <w:pPr>
        <w:pStyle w:val="ListBullet"/>
      </w:pPr>
      <w:r>
        <w:t>KPI cards: total completed sales, total cancellations, average order value and most returned product.</w:t>
      </w:r>
    </w:p>
    <w:p>
      <w:pPr>
        <w:pStyle w:val="ListBullet"/>
      </w:pPr>
      <w:r>
        <w:t>Filters: Region, Category and SalesAgent.</w:t>
      </w:r>
    </w:p>
    <w:p>
      <w:pPr>
        <w:pStyle w:val="Heading1"/>
      </w:pPr>
      <w:r>
        <w:t>6. Key Insights and Suggested Actions</w:t>
      </w:r>
    </w:p>
    <w:p>
      <w:r>
        <w:t>Highest-revenue category in the sample: Furniture (516,854.06, 47.27% of all transaction amount).</w:t>
      </w:r>
    </w:p>
    <w:p>
      <w:r>
        <w:t>Most frequently returned product in the sample: Bookshelf (7 returned orders).</w:t>
      </w:r>
    </w:p>
    <w:p>
      <w:r>
        <w:t>Recommended actions:</w:t>
      </w:r>
    </w:p>
    <w:p>
      <w:pPr>
        <w:pStyle w:val="ListNumber"/>
      </w:pPr>
      <w:r>
        <w:t>Investigate the leading region/product revenue-loss combinations and document cancellation/return reasons.</w:t>
      </w:r>
    </w:p>
    <w:p>
      <w:pPr>
        <w:pStyle w:val="ListNumber"/>
      </w:pPr>
      <w:r>
        <w:t>Review high cancellation/return rates by region while accounting for order volume and product mix.</w:t>
      </w:r>
    </w:p>
    <w:p>
      <w:pPr>
        <w:pStyle w:val="ListNumber"/>
      </w:pPr>
      <w:r>
        <w:t>Coach sales agents using fair comparisons of conversion, order size and cancellation rate—not revenue alone.</w:t>
      </w:r>
    </w:p>
    <w:p>
      <w:pPr>
        <w:pStyle w:val="ListNumber"/>
      </w:pPr>
      <w:r>
        <w:t>Use targeted promotions for weaker categories only after reviewing profit margin, inventory and customer demand.</w:t>
      </w:r>
    </w:p>
    <w:p>
      <w:pPr>
        <w:pStyle w:val="ListNumber"/>
      </w:pPr>
      <w:r>
        <w:t>Track monthly completed revenue and order-status mix in regular management reviews.</w:t>
      </w:r>
    </w:p>
    <w:p>
      <w:pPr>
        <w:pStyle w:val="Heading1"/>
      </w:pPr>
      <w:r>
        <w:t>7. How to Run the Project</w:t>
      </w:r>
    </w:p>
    <w:p>
      <w:pPr>
        <w:pStyle w:val="ListNumber"/>
      </w:pPr>
      <w:r>
        <w:t>Extract Regional_Sales_Bottleneck_Project.zip.</w:t>
      </w:r>
    </w:p>
    <w:p>
      <w:pPr>
        <w:pStyle w:val="ListNumber"/>
      </w:pPr>
      <w:r>
        <w:t>Import RegionalSales2025.csv into MySQL as table regional_sales (or use the MySQL Table Data Import Wizard).</w:t>
      </w:r>
    </w:p>
    <w:p>
      <w:pPr>
        <w:pStyle w:val="ListNumber"/>
      </w:pPr>
      <w:r>
        <w:t>Open SalesBottleneck.sql in MySQL Workbench, select the regional_sales_db schema, and run the queries.</w:t>
      </w:r>
    </w:p>
    <w:p>
      <w:pPr>
        <w:pStyle w:val="ListNumber"/>
      </w:pPr>
      <w:r>
        <w:t>Open BottleneckDashboard.xlsx and review Dashboard plus the individual analysis sheets.</w:t>
      </w:r>
    </w:p>
    <w:p>
      <w:pPr>
        <w:pStyle w:val="ListNumber"/>
      </w:pPr>
      <w:r>
        <w:t>For the official exam submission, replace the sample data with the institute dataset and refresh/re-run the analyses.</w:t>
      </w:r>
    </w:p>
    <w:p>
      <w:pPr>
        <w:pStyle w:val="Heading1"/>
      </w:pPr>
      <w:r>
        <w:t>8. Conclusion</w:t>
      </w:r>
    </w:p>
    <w:p>
      <w:r>
        <w:t>This project provides a repeatable workflow for identifying sales trends, regional bottlenecks, product-related revenue leakage, category performance and agent contributions. The Excel workbook contains analysis tables and charts to support management decisions.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