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C21355"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73F2F274" w:rsidR="00E96B82" w:rsidRDefault="00E96B82" w:rsidP="00E96B82">
      <w:pPr>
        <w:pStyle w:val="Title"/>
      </w:pPr>
      <w:r w:rsidRPr="00E96B82">
        <w:t xml:space="preserve">The </w:t>
      </w:r>
      <w:r>
        <w:t>A</w:t>
      </w:r>
      <w:r w:rsidRPr="00E96B82">
        <w:t xml:space="preserve">nalysis of </w:t>
      </w:r>
      <w:r w:rsidR="00ED39FF">
        <w:t>education preference.</w:t>
      </w:r>
    </w:p>
    <w:p w14:paraId="50FBC25C" w14:textId="4EBC8D27" w:rsidR="00E96B82" w:rsidRDefault="00E96B82" w:rsidP="00E96B82">
      <w:pPr>
        <w:pStyle w:val="Subtitle"/>
      </w:pPr>
      <w:r>
        <w:t xml:space="preserve">Submitted by: </w:t>
      </w:r>
      <w:r w:rsidR="00ED39FF">
        <w:t xml:space="preserve">Amr El </w:t>
      </w:r>
      <w:proofErr w:type="spellStart"/>
      <w:r w:rsidR="00ED39FF">
        <w:t>Azazy</w:t>
      </w:r>
      <w:proofErr w:type="spellEnd"/>
    </w:p>
    <w:p w14:paraId="62A56BFD" w14:textId="063065EA" w:rsidR="00E96B82" w:rsidRDefault="00ED39FF" w:rsidP="00E96B82">
      <w:pPr>
        <w:pStyle w:val="Subtitle"/>
      </w:pPr>
      <w:r>
        <w:t>22-101237</w:t>
      </w:r>
    </w:p>
    <w:p w14:paraId="6CA4227F" w14:textId="6FCC444A" w:rsidR="00E96B82" w:rsidRDefault="00E96B82">
      <w:r>
        <w:br w:type="page"/>
      </w:r>
    </w:p>
    <w:p w14:paraId="0A64C94A" w14:textId="1E8E5CD5" w:rsidR="00E96B82" w:rsidRDefault="00E96B82" w:rsidP="00E96B82">
      <w:pPr>
        <w:pStyle w:val="Heading1"/>
      </w:pPr>
      <w:r>
        <w:lastRenderedPageBreak/>
        <w:t>Introduction</w:t>
      </w:r>
    </w:p>
    <w:p w14:paraId="00A0528B" w14:textId="218B44A3" w:rsidR="00E96B82" w:rsidRDefault="00E96B82" w:rsidP="00E96B82"/>
    <w:p w14:paraId="38BC3ECD" w14:textId="22FF9F9D" w:rsidR="00E96B82" w:rsidRDefault="00710B63" w:rsidP="00E96B82">
      <w:r>
        <w:rPr>
          <w:rFonts w:ascii="Arial" w:hAnsi="Arial" w:cs="Arial"/>
          <w:color w:val="1F1F1F"/>
          <w:shd w:val="clear" w:color="auto" w:fill="FFFFFF"/>
        </w:rPr>
        <w:t>Universities, once the undisputed path to a successful career, are facing growing criticism. Soaring tuition costs, mountains of student debt, and a perceived disconnect between academic pursuits and real-world job skills are causing many to question the value of a traditional university education. But what are the alternatives? This report dives into the growing popularity of alternative education options, exploring whether students are turning towards technical training or online learning to bridge the gap between education and their career aspirations</w:t>
      </w:r>
      <w:r w:rsidR="00E96B82">
        <w:t>.</w:t>
      </w:r>
    </w:p>
    <w:p w14:paraId="174CC263" w14:textId="2F12B8A6" w:rsidR="00E96B82" w:rsidRDefault="00E96B82" w:rsidP="00E96B82"/>
    <w:p w14:paraId="7C428973" w14:textId="1A6C7271" w:rsidR="00E96B82" w:rsidRDefault="00E96B82" w:rsidP="00E96B82">
      <w:pPr>
        <w:pStyle w:val="Heading1"/>
      </w:pPr>
      <w:r>
        <w:t xml:space="preserve">Research Question </w:t>
      </w:r>
    </w:p>
    <w:p w14:paraId="4D6F0914" w14:textId="7ED9A6B3" w:rsidR="00E96B82" w:rsidRPr="00710B63" w:rsidRDefault="00710B63" w:rsidP="00E96B82">
      <w:pPr>
        <w:pStyle w:val="Heading1"/>
        <w:rPr>
          <w:rFonts w:asciiTheme="minorBidi" w:hAnsiTheme="minorBidi" w:cstheme="minorBidi"/>
          <w:b/>
          <w:bCs/>
        </w:rPr>
      </w:pPr>
      <w:r w:rsidRPr="00710B63">
        <w:rPr>
          <w:rStyle w:val="Strong"/>
          <w:rFonts w:asciiTheme="minorBidi" w:hAnsiTheme="minorBidi" w:cstheme="minorBidi"/>
          <w:b w:val="0"/>
          <w:bCs w:val="0"/>
          <w:color w:val="1F1F1F"/>
          <w:shd w:val="clear" w:color="auto" w:fill="FFFFFF"/>
        </w:rPr>
        <w:t>Do students perceive traditional university education as effectively preparing them for the job market, and if not, what alternative educational pathways are they drawn towards (technical training or online courses)?</w:t>
      </w:r>
    </w:p>
    <w:p w14:paraId="495706E6" w14:textId="2B567FFB" w:rsidR="00E96B82" w:rsidRDefault="00E96B82" w:rsidP="00E96B82">
      <w:pPr>
        <w:pStyle w:val="Heading1"/>
      </w:pPr>
      <w:r>
        <w:t>Hypothesis</w:t>
      </w:r>
    </w:p>
    <w:p w14:paraId="2682EC4F" w14:textId="6C289FC1" w:rsidR="00710B63" w:rsidRPr="00710B63" w:rsidRDefault="00710B63" w:rsidP="00710B63">
      <w:pPr>
        <w:rPr>
          <w:b/>
          <w:bCs/>
        </w:rPr>
      </w:pPr>
      <w:r w:rsidRPr="00710B63">
        <w:rPr>
          <w:rStyle w:val="Strong"/>
          <w:rFonts w:ascii="Arial" w:hAnsi="Arial" w:cs="Arial"/>
          <w:b w:val="0"/>
          <w:bCs w:val="0"/>
          <w:color w:val="1F1F1F"/>
          <w:shd w:val="clear" w:color="auto" w:fill="FFFFFF"/>
        </w:rPr>
        <w:t>I hypothesize that a significant portion of the surveyed population will express dissatisfaction with the job market preparedness offered by traditional universities. Furthermore, we expect a preference for alternative education options, such as technical training or online courses</w:t>
      </w:r>
    </w:p>
    <w:p w14:paraId="580D2843" w14:textId="77777777" w:rsidR="00E96B82" w:rsidRDefault="00E96B82" w:rsidP="00E96B82">
      <w:pPr>
        <w:pStyle w:val="Heading1"/>
        <w:rPr>
          <w:rFonts w:eastAsia="Times New Roman"/>
          <w:lang w:eastAsia="en-GB"/>
        </w:rPr>
      </w:pPr>
      <w:r w:rsidRPr="00E96B82">
        <w:rPr>
          <w:rFonts w:eastAsia="Times New Roman"/>
          <w:lang w:eastAsia="en-GB"/>
        </w:rPr>
        <w:t xml:space="preserve">Population of Interest: </w:t>
      </w:r>
    </w:p>
    <w:p w14:paraId="15E83A4C" w14:textId="612B73A7" w:rsidR="00E96B82" w:rsidRPr="00E96B82" w:rsidRDefault="00E96B82" w:rsidP="00E96B82">
      <w:pPr>
        <w:ind w:left="720"/>
        <w:rPr>
          <w:lang w:eastAsia="en-GB"/>
        </w:rPr>
      </w:pPr>
      <w:r>
        <w:rPr>
          <w:lang w:eastAsia="en-GB"/>
        </w:rPr>
        <w:t xml:space="preserve">      </w:t>
      </w:r>
      <w:r w:rsidR="00710B63">
        <w:rPr>
          <w:rFonts w:ascii="Arial" w:hAnsi="Arial" w:cs="Arial"/>
          <w:color w:val="1F1F1F"/>
          <w:shd w:val="clear" w:color="auto" w:fill="FFFFFF"/>
        </w:rPr>
        <w:t>This survey targets individuals aged 18-70, encompassing recent high school graduates, those considering career changes, and anyone interested in pursuing further education.</w:t>
      </w:r>
    </w:p>
    <w:p w14:paraId="091142B7"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Sampling Method: </w:t>
      </w:r>
    </w:p>
    <w:p w14:paraId="7639166E" w14:textId="357DB998" w:rsidR="00E96B82" w:rsidRPr="00E96B82" w:rsidRDefault="00710B63" w:rsidP="00E96B82">
      <w:pPr>
        <w:spacing w:before="100" w:beforeAutospacing="1" w:after="100" w:afterAutospacing="1"/>
        <w:ind w:left="1080"/>
        <w:rPr>
          <w:rFonts w:ascii="Times New Roman" w:eastAsia="Times New Roman" w:hAnsi="Times New Roman" w:cs="Times New Roman"/>
          <w:lang w:eastAsia="en-GB"/>
        </w:rPr>
      </w:pPr>
      <w:r>
        <w:rPr>
          <w:rFonts w:ascii="Arial" w:hAnsi="Arial" w:cs="Arial"/>
          <w:color w:val="1F1F1F"/>
          <w:shd w:val="clear" w:color="auto" w:fill="FFFFFF"/>
        </w:rPr>
        <w:t xml:space="preserve">We will employ a random sampling method. This approach ensures a fair representation of the population of interest. Random sampling techniques, like online survey platforms with diverse user pools, or phone surveys using random digit </w:t>
      </w:r>
      <w:proofErr w:type="spellStart"/>
      <w:r>
        <w:rPr>
          <w:rFonts w:ascii="Arial" w:hAnsi="Arial" w:cs="Arial"/>
          <w:color w:val="1F1F1F"/>
          <w:shd w:val="clear" w:color="auto" w:fill="FFFFFF"/>
        </w:rPr>
        <w:t>dialing</w:t>
      </w:r>
      <w:proofErr w:type="spellEnd"/>
      <w:r>
        <w:rPr>
          <w:rFonts w:ascii="Arial" w:hAnsi="Arial" w:cs="Arial"/>
          <w:color w:val="1F1F1F"/>
          <w:shd w:val="clear" w:color="auto" w:fill="FFFFFF"/>
        </w:rPr>
        <w:t>, will be utilized to gather data from a representative sample of the target population</w:t>
      </w:r>
      <w:r w:rsidR="00E96B82" w:rsidRPr="00E96B82">
        <w:rPr>
          <w:rFonts w:ascii="Times New Roman" w:eastAsia="Times New Roman" w:hAnsi="Times New Roman" w:cs="Times New Roman"/>
          <w:lang w:eastAsia="en-GB"/>
        </w:rPr>
        <w:t>.</w:t>
      </w:r>
    </w:p>
    <w:p w14:paraId="071E83C2"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Bias Identification: </w:t>
      </w:r>
    </w:p>
    <w:p w14:paraId="2E1D890E" w14:textId="77777777" w:rsidR="00ED39FF" w:rsidRDefault="00ED39FF" w:rsidP="00E96B82">
      <w:pPr>
        <w:spacing w:before="100" w:beforeAutospacing="1" w:after="100" w:afterAutospacing="1"/>
        <w:ind w:left="1080"/>
        <w:rPr>
          <w:rFonts w:ascii="Times New Roman" w:eastAsia="Times New Roman" w:hAnsi="Times New Roman" w:cs="Times New Roman"/>
          <w:lang w:eastAsia="en-GB"/>
        </w:rPr>
      </w:pPr>
    </w:p>
    <w:p w14:paraId="5F870BCC" w14:textId="77777777" w:rsidR="00ED39FF" w:rsidRDefault="00ED39FF" w:rsidP="00E96B82">
      <w:pPr>
        <w:spacing w:before="100" w:beforeAutospacing="1" w:after="100" w:afterAutospacing="1"/>
        <w:ind w:left="1080"/>
        <w:rPr>
          <w:rFonts w:ascii="Times New Roman" w:eastAsia="Times New Roman" w:hAnsi="Times New Roman" w:cs="Times New Roman"/>
          <w:lang w:eastAsia="en-GB"/>
        </w:rPr>
      </w:pPr>
    </w:p>
    <w:p w14:paraId="578680DA" w14:textId="77777777" w:rsidR="00ED39FF" w:rsidRDefault="00ED39FF" w:rsidP="00E96B82">
      <w:pPr>
        <w:spacing w:before="100" w:beforeAutospacing="1" w:after="100" w:afterAutospacing="1"/>
        <w:ind w:left="1080"/>
        <w:rPr>
          <w:rFonts w:ascii="Times New Roman" w:eastAsia="Times New Roman" w:hAnsi="Times New Roman" w:cs="Times New Roman"/>
          <w:lang w:eastAsia="en-GB"/>
        </w:rPr>
      </w:pPr>
    </w:p>
    <w:p w14:paraId="38B15E74" w14:textId="5ADC7BCE"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p>
    <w:p w14:paraId="0642F245" w14:textId="0DF22BFE" w:rsidR="00E96B82" w:rsidRPr="00E96B82" w:rsidRDefault="00E96B82" w:rsidP="00E96B82">
      <w:pPr>
        <w:pStyle w:val="Heading1"/>
        <w:rPr>
          <w:rFonts w:eastAsia="Times New Roman"/>
          <w:lang w:eastAsia="en-GB"/>
        </w:rPr>
      </w:pPr>
      <w:r w:rsidRPr="00E96B82">
        <w:rPr>
          <w:rFonts w:eastAsia="Times New Roman"/>
          <w:lang w:eastAsia="en-GB"/>
        </w:rPr>
        <w:lastRenderedPageBreak/>
        <w:t>Survey Questions:</w:t>
      </w:r>
    </w:p>
    <w:p w14:paraId="5154F06C" w14:textId="5419C8AE"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ED39FF">
        <w:rPr>
          <w:rFonts w:ascii="Times New Roman" w:eastAsia="Times New Roman" w:hAnsi="Times New Roman" w:cs="Times New Roman"/>
          <w:lang w:eastAsia="en-GB"/>
        </w:rPr>
        <w:t>Age</w:t>
      </w:r>
      <w:r w:rsidRPr="00E96B82">
        <w:rPr>
          <w:rFonts w:ascii="Times New Roman" w:eastAsia="Times New Roman" w:hAnsi="Times New Roman" w:cs="Times New Roman"/>
          <w:lang w:eastAsia="en-GB"/>
        </w:rPr>
        <w:t>]</w:t>
      </w:r>
    </w:p>
    <w:p w14:paraId="42983148" w14:textId="4ADEEA86"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ED39FF">
        <w:rPr>
          <w:rFonts w:ascii="Times New Roman" w:eastAsia="Times New Roman" w:hAnsi="Times New Roman" w:cs="Times New Roman"/>
          <w:lang w:eastAsia="en-GB"/>
        </w:rPr>
        <w:t>Gender</w:t>
      </w:r>
      <w:r w:rsidRPr="00E96B82">
        <w:rPr>
          <w:rFonts w:ascii="Times New Roman" w:eastAsia="Times New Roman" w:hAnsi="Times New Roman" w:cs="Times New Roman"/>
          <w:lang w:eastAsia="en-GB"/>
        </w:rPr>
        <w:t>]</w:t>
      </w:r>
    </w:p>
    <w:p w14:paraId="63A76D06" w14:textId="19312B86"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t>[</w:t>
      </w:r>
      <w:r w:rsidR="00ED39FF">
        <w:rPr>
          <w:rFonts w:ascii="Helvetica" w:hAnsi="Helvetica"/>
          <w:color w:val="202124"/>
          <w:shd w:val="clear" w:color="auto" w:fill="FFFFFF"/>
        </w:rPr>
        <w:t>Do you prefer to universities education?</w:t>
      </w:r>
      <w:r w:rsidRPr="00E96B82">
        <w:rPr>
          <w:rFonts w:ascii="Times New Roman" w:eastAsia="Times New Roman" w:hAnsi="Times New Roman" w:cs="Times New Roman"/>
          <w:lang w:eastAsia="en-GB"/>
        </w:rPr>
        <w:t>]</w:t>
      </w:r>
    </w:p>
    <w:p w14:paraId="10B48148" w14:textId="7D1A84A7" w:rsidR="00ED39FF" w:rsidRDefault="00ED39FF" w:rsidP="00ED39FF">
      <w:pPr>
        <w:shd w:val="clear" w:color="auto" w:fill="FFFFFF"/>
        <w:rPr>
          <w:rFonts w:ascii="Helvetica" w:hAnsi="Helvetica"/>
          <w:color w:val="202124"/>
          <w:shd w:val="clear" w:color="auto" w:fill="FFFFFF"/>
        </w:rPr>
      </w:pPr>
      <w:r>
        <w:rPr>
          <w:rFonts w:ascii="Times New Roman" w:eastAsia="Times New Roman" w:hAnsi="Times New Roman" w:cs="Times New Roman"/>
          <w:lang w:eastAsia="en-GB"/>
        </w:rPr>
        <w:t xml:space="preserve">                  </w:t>
      </w:r>
      <w:r w:rsidR="00E96B82" w:rsidRPr="00E96B82">
        <w:rPr>
          <w:rFonts w:ascii="Times New Roman" w:eastAsia="Times New Roman" w:hAnsi="Times New Roman" w:cs="Times New Roman"/>
          <w:lang w:eastAsia="en-GB"/>
        </w:rPr>
        <w:t>[</w:t>
      </w:r>
      <w:r>
        <w:rPr>
          <w:rFonts w:ascii="Helvetica" w:hAnsi="Helvetica"/>
          <w:color w:val="202124"/>
          <w:shd w:val="clear" w:color="auto" w:fill="FFFFFF"/>
        </w:rPr>
        <w:t>If no, what do you prefer from these?</w:t>
      </w:r>
    </w:p>
    <w:p w14:paraId="290E5F2A" w14:textId="66812AD3" w:rsidR="00E96B82" w:rsidRPr="00ED39FF" w:rsidRDefault="00ED39FF" w:rsidP="00ED39FF">
      <w:pPr>
        <w:shd w:val="clear" w:color="auto" w:fill="FFFFFF"/>
        <w:rPr>
          <w:rFonts w:ascii="Roboto" w:eastAsia="Times New Roman" w:hAnsi="Roboto" w:cs="Times New Roman"/>
          <w:color w:val="202124"/>
          <w:sz w:val="27"/>
          <w:szCs w:val="27"/>
          <w:lang w:val="en-US"/>
        </w:rPr>
      </w:pPr>
      <w:r>
        <w:rPr>
          <w:rFonts w:ascii="Helvetica" w:hAnsi="Helvetica"/>
          <w:color w:val="202124"/>
          <w:shd w:val="clear" w:color="auto" w:fill="FFFFFF"/>
        </w:rPr>
        <w:t>(</w:t>
      </w:r>
      <w:r w:rsidRPr="00ED39FF">
        <w:rPr>
          <w:rFonts w:ascii="Roboto" w:eastAsia="Times New Roman" w:hAnsi="Roboto" w:cs="Times New Roman"/>
          <w:color w:val="202124"/>
          <w:sz w:val="22"/>
          <w:szCs w:val="22"/>
          <w:lang w:val="en-US"/>
        </w:rPr>
        <w:t>Technical educatio</w:t>
      </w:r>
      <w:r>
        <w:rPr>
          <w:rFonts w:ascii="Roboto" w:eastAsia="Times New Roman" w:hAnsi="Roboto" w:cs="Times New Roman"/>
          <w:color w:val="202124"/>
          <w:sz w:val="22"/>
          <w:szCs w:val="22"/>
          <w:lang w:val="en-US"/>
        </w:rPr>
        <w:t xml:space="preserve">n or </w:t>
      </w:r>
      <w:r w:rsidRPr="00ED39FF">
        <w:rPr>
          <w:rFonts w:ascii="Roboto" w:eastAsia="Times New Roman" w:hAnsi="Roboto" w:cs="Times New Roman"/>
          <w:color w:val="202124"/>
          <w:sz w:val="22"/>
          <w:szCs w:val="22"/>
          <w:lang w:val="en-US"/>
        </w:rPr>
        <w:t xml:space="preserve">Online education </w:t>
      </w:r>
      <w:r>
        <w:rPr>
          <w:rFonts w:ascii="Roboto" w:eastAsia="Times New Roman" w:hAnsi="Roboto" w:cs="Times New Roman"/>
          <w:color w:val="202124"/>
          <w:sz w:val="22"/>
          <w:szCs w:val="22"/>
          <w:lang w:val="en-US"/>
        </w:rPr>
        <w:t>courses)</w:t>
      </w:r>
      <w:r w:rsidR="00E96B82" w:rsidRPr="00E96B82">
        <w:rPr>
          <w:rFonts w:ascii="Times New Roman" w:eastAsia="Times New Roman" w:hAnsi="Times New Roman" w:cs="Times New Roman"/>
          <w:lang w:eastAsia="en-GB"/>
        </w:rPr>
        <w:t>]</w:t>
      </w:r>
    </w:p>
    <w:p w14:paraId="27659BE3" w14:textId="56E0CE55" w:rsidR="00E96B82" w:rsidRPr="00E96B82" w:rsidRDefault="005D5C9B" w:rsidP="00E96B82">
      <w:pPr>
        <w:spacing w:before="100" w:beforeAutospacing="1" w:after="100" w:afterAutospacing="1"/>
        <w:ind w:left="108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Number of sample </w:t>
      </w:r>
      <w:proofErr w:type="gramStart"/>
      <w:r>
        <w:rPr>
          <w:rFonts w:ascii="Times New Roman" w:eastAsia="Times New Roman" w:hAnsi="Times New Roman" w:cs="Times New Roman"/>
          <w:lang w:eastAsia="en-GB"/>
        </w:rPr>
        <w:t>collected :</w:t>
      </w:r>
      <w:proofErr w:type="gramEnd"/>
      <w:r>
        <w:rPr>
          <w:rFonts w:ascii="Times New Roman" w:eastAsia="Times New Roman" w:hAnsi="Times New Roman" w:cs="Times New Roman"/>
          <w:lang w:eastAsia="en-GB"/>
        </w:rPr>
        <w:t xml:space="preserve"> 32</w:t>
      </w:r>
    </w:p>
    <w:p w14:paraId="2580FB0A" w14:textId="77777777" w:rsidR="00E96B82" w:rsidRPr="00E96B82" w:rsidRDefault="00E96B82" w:rsidP="00E96B82">
      <w:pPr>
        <w:pStyle w:val="Heading1"/>
        <w:rPr>
          <w:rFonts w:eastAsia="Times New Roman"/>
          <w:lang w:eastAsia="en-GB"/>
        </w:rPr>
      </w:pPr>
      <w:r w:rsidRPr="00E96B82">
        <w:rPr>
          <w:rFonts w:eastAsia="Times New Roman"/>
          <w:lang w:eastAsia="en-GB"/>
        </w:rPr>
        <w:t>Analysis:</w:t>
      </w:r>
    </w:p>
    <w:p w14:paraId="176BEBD5" w14:textId="2242F923" w:rsidR="00E96B82" w:rsidRDefault="00E96B82" w:rsidP="00E96B82">
      <w:pPr>
        <w:spacing w:before="100" w:beforeAutospacing="1" w:after="100" w:afterAutospacing="1"/>
        <w:ind w:left="1080"/>
        <w:rPr>
          <w:rFonts w:ascii="Times New Roman" w:eastAsia="Times New Roman" w:hAnsi="Times New Roman" w:cs="Times New Roman"/>
          <w:lang w:eastAsia="en-GB"/>
        </w:rPr>
      </w:pPr>
    </w:p>
    <w:tbl>
      <w:tblPr>
        <w:tblStyle w:val="TableGrid"/>
        <w:tblW w:w="0" w:type="auto"/>
        <w:tblInd w:w="1080" w:type="dxa"/>
        <w:tblLook w:val="04A0" w:firstRow="1" w:lastRow="0" w:firstColumn="1" w:lastColumn="0" w:noHBand="0" w:noVBand="1"/>
      </w:tblPr>
      <w:tblGrid>
        <w:gridCol w:w="7930"/>
      </w:tblGrid>
      <w:tr w:rsidR="00E96B82" w14:paraId="3E28D139" w14:textId="77777777" w:rsidTr="3D2F5128">
        <w:tc>
          <w:tcPr>
            <w:tcW w:w="9010" w:type="dxa"/>
          </w:tcPr>
          <w:p w14:paraId="569C1D9C" w14:textId="685B5084" w:rsidR="00E96B82" w:rsidRDefault="579617F9" w:rsidP="3D2F5128">
            <w:pPr>
              <w:spacing w:before="100" w:beforeAutospacing="1" w:after="100" w:afterAutospacing="1"/>
            </w:pPr>
            <w:r>
              <w:rPr>
                <w:noProof/>
              </w:rPr>
              <w:drawing>
                <wp:inline distT="0" distB="0" distL="0" distR="0" wp14:anchorId="41ADD6A4" wp14:editId="0F41FE70">
                  <wp:extent cx="4438650" cy="4572000"/>
                  <wp:effectExtent l="0" t="0" r="0" b="0"/>
                  <wp:docPr id="1957173228" name="Picture 195717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tc>
      </w:tr>
      <w:tr w:rsidR="00E96B82" w14:paraId="7E4077B8" w14:textId="77777777" w:rsidTr="3D2F5128">
        <w:tc>
          <w:tcPr>
            <w:tcW w:w="9010" w:type="dxa"/>
          </w:tcPr>
          <w:p w14:paraId="3EEF5298" w14:textId="056C6A28" w:rsidR="00E96B82" w:rsidRPr="00E96B82" w:rsidRDefault="005D5C9B" w:rsidP="00E96B82">
            <w:r>
              <w:t>The</w:t>
            </w:r>
            <w:r w:rsidR="00E96B82">
              <w:t xml:space="preserve"> Chart Showing</w:t>
            </w:r>
            <w:r>
              <w:t xml:space="preserve"> </w:t>
            </w:r>
            <w:r w:rsidR="008732ED">
              <w:rPr>
                <w:rFonts w:ascii="Segoe UI" w:hAnsi="Segoe UI" w:cs="Segoe UI"/>
                <w:color w:val="0D0D0D"/>
                <w:shd w:val="clear" w:color="auto" w:fill="FFFFFF"/>
              </w:rPr>
              <w:t xml:space="preserve">that numerous individuals opt for technical education because of the advantages offered by the acquired skills and employment opportunities. However, there is also a considerable number of students who </w:t>
            </w:r>
            <w:proofErr w:type="spellStart"/>
            <w:r w:rsidR="008732ED">
              <w:rPr>
                <w:rFonts w:ascii="Segoe UI" w:hAnsi="Segoe UI" w:cs="Segoe UI"/>
                <w:color w:val="0D0D0D"/>
                <w:shd w:val="clear" w:color="auto" w:fill="FFFFFF"/>
              </w:rPr>
              <w:t>favor</w:t>
            </w:r>
            <w:proofErr w:type="spellEnd"/>
            <w:r w:rsidR="008732ED">
              <w:rPr>
                <w:rFonts w:ascii="Segoe UI" w:hAnsi="Segoe UI" w:cs="Segoe UI"/>
                <w:color w:val="0D0D0D"/>
                <w:shd w:val="clear" w:color="auto" w:fill="FFFFFF"/>
              </w:rPr>
              <w:t xml:space="preserve"> online courses.</w:t>
            </w:r>
          </w:p>
        </w:tc>
      </w:tr>
    </w:tbl>
    <w:p w14:paraId="7E5C7460" w14:textId="0CC3376E" w:rsidR="00E96B82" w:rsidRPr="00E96B82" w:rsidRDefault="0FD466C7" w:rsidP="3D2F5128">
      <w:pPr>
        <w:spacing w:before="100" w:beforeAutospacing="1" w:after="100" w:afterAutospacing="1"/>
        <w:rPr>
          <w:rFonts w:ascii="Times New Roman" w:eastAsia="Times New Roman" w:hAnsi="Times New Roman" w:cs="Times New Roman"/>
          <w:lang w:eastAsia="en-GB"/>
        </w:rPr>
      </w:pPr>
      <w:r>
        <w:rPr>
          <w:noProof/>
        </w:rPr>
        <w:lastRenderedPageBreak/>
        <w:drawing>
          <wp:inline distT="0" distB="0" distL="0" distR="0" wp14:anchorId="3B0C1B97" wp14:editId="14B54B2D">
            <wp:extent cx="4438650" cy="4572000"/>
            <wp:effectExtent l="0" t="0" r="0" b="0"/>
            <wp:docPr id="1501125144" name="Picture 1501125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10AFEC5C" w14:textId="6193E11A" w:rsidR="3D2F5128" w:rsidRDefault="008732ED" w:rsidP="3D2F5128">
      <w:pPr>
        <w:spacing w:beforeAutospacing="1" w:afterAutospacing="1"/>
        <w:rPr>
          <w:rFonts w:ascii="Times New Roman" w:eastAsia="Times New Roman" w:hAnsi="Times New Roman" w:cs="Times New Roman"/>
          <w:lang w:eastAsia="en-GB"/>
        </w:rPr>
      </w:pPr>
      <w:r>
        <w:rPr>
          <w:rFonts w:ascii="Segoe UI" w:hAnsi="Segoe UI" w:cs="Segoe UI"/>
          <w:color w:val="0D0D0D"/>
          <w:shd w:val="clear" w:color="auto" w:fill="FFFFFF"/>
        </w:rPr>
        <w:t>The chart illustrates that many students support traditional university education, likely influenced by various factors such as the development of communication skills, networking opportunities, and numerous other benefits associated with this form of education.</w:t>
      </w:r>
    </w:p>
    <w:p w14:paraId="7112CB73" w14:textId="02C3B9E0" w:rsidR="3D2F5128" w:rsidRDefault="3D2F5128" w:rsidP="3D2F5128">
      <w:pPr>
        <w:spacing w:beforeAutospacing="1" w:afterAutospacing="1"/>
        <w:rPr>
          <w:rFonts w:ascii="Times New Roman" w:eastAsia="Times New Roman" w:hAnsi="Times New Roman" w:cs="Times New Roman"/>
          <w:lang w:eastAsia="en-GB"/>
        </w:rPr>
      </w:pPr>
    </w:p>
    <w:p w14:paraId="2ED771A3" w14:textId="77777777" w:rsidR="00E96B82" w:rsidRPr="00E96B82" w:rsidRDefault="00E96B82" w:rsidP="00E96B82">
      <w:pPr>
        <w:pStyle w:val="Heading1"/>
        <w:rPr>
          <w:rFonts w:eastAsia="Times New Roman"/>
          <w:lang w:eastAsia="en-GB"/>
        </w:rPr>
      </w:pPr>
      <w:r w:rsidRPr="00E96B82">
        <w:rPr>
          <w:rFonts w:eastAsia="Times New Roman"/>
          <w:lang w:eastAsia="en-GB"/>
        </w:rPr>
        <w:t xml:space="preserve">Conclusion </w:t>
      </w:r>
    </w:p>
    <w:p w14:paraId="0E9FF614" w14:textId="77777777" w:rsidR="00ED39FF" w:rsidRDefault="00ED39FF" w:rsidP="00ED39FF">
      <w:pPr>
        <w:pStyle w:val="NormalWeb"/>
        <w:shd w:val="clear" w:color="auto" w:fill="FFFFFF"/>
        <w:rPr>
          <w:rFonts w:ascii="Arial" w:hAnsi="Arial" w:cs="Arial"/>
          <w:color w:val="1F1F1F"/>
        </w:rPr>
      </w:pPr>
      <w:r>
        <w:rPr>
          <w:rFonts w:ascii="Arial" w:hAnsi="Arial" w:cs="Arial"/>
          <w:color w:val="1F1F1F"/>
        </w:rPr>
        <w:t>This survey investigated the educational preferences of university students amidst concerns about the job market preparedness offered by traditional universities. The findings revealed a significant interest in alternative education options.</w:t>
      </w:r>
    </w:p>
    <w:p w14:paraId="29B02187" w14:textId="77777777" w:rsidR="00ED39FF" w:rsidRDefault="00ED39FF" w:rsidP="00ED39FF">
      <w:pPr>
        <w:pStyle w:val="NormalWeb"/>
        <w:shd w:val="clear" w:color="auto" w:fill="FFFFFF"/>
        <w:rPr>
          <w:rFonts w:ascii="Arial" w:hAnsi="Arial" w:cs="Arial"/>
          <w:color w:val="1F1F1F"/>
        </w:rPr>
      </w:pPr>
      <w:r>
        <w:rPr>
          <w:rFonts w:ascii="Arial" w:hAnsi="Arial" w:cs="Arial"/>
          <w:color w:val="1F1F1F"/>
        </w:rPr>
        <w:t xml:space="preserve">A substantial portion of respondents expressed a preference for </w:t>
      </w:r>
      <w:r>
        <w:rPr>
          <w:rStyle w:val="Strong"/>
          <w:rFonts w:ascii="Arial" w:eastAsiaTheme="majorEastAsia" w:hAnsi="Arial" w:cs="Arial"/>
          <w:color w:val="1F1F1F"/>
        </w:rPr>
        <w:t>technical education</w:t>
      </w:r>
      <w:r>
        <w:rPr>
          <w:rFonts w:ascii="Arial" w:hAnsi="Arial" w:cs="Arial"/>
          <w:color w:val="1F1F1F"/>
        </w:rPr>
        <w:t xml:space="preserve">, highlighting the value they place on acquiring </w:t>
      </w:r>
      <w:r>
        <w:rPr>
          <w:rStyle w:val="Strong"/>
          <w:rFonts w:ascii="Arial" w:eastAsiaTheme="majorEastAsia" w:hAnsi="Arial" w:cs="Arial"/>
          <w:color w:val="1F1F1F"/>
        </w:rPr>
        <w:t>job-specific skills</w:t>
      </w:r>
      <w:r>
        <w:rPr>
          <w:rFonts w:ascii="Arial" w:hAnsi="Arial" w:cs="Arial"/>
          <w:color w:val="1F1F1F"/>
        </w:rPr>
        <w:t>. This aligns with the hypothesis that students are seeking more direct pathways to career readiness.</w:t>
      </w:r>
    </w:p>
    <w:p w14:paraId="6502FDB9" w14:textId="77777777" w:rsidR="00ED39FF" w:rsidRDefault="00ED39FF" w:rsidP="00ED39FF">
      <w:pPr>
        <w:pStyle w:val="NormalWeb"/>
        <w:shd w:val="clear" w:color="auto" w:fill="FFFFFF"/>
        <w:rPr>
          <w:rFonts w:ascii="Arial" w:hAnsi="Arial" w:cs="Arial"/>
          <w:color w:val="1F1F1F"/>
        </w:rPr>
      </w:pPr>
      <w:r>
        <w:rPr>
          <w:rFonts w:ascii="Arial" w:hAnsi="Arial" w:cs="Arial"/>
          <w:color w:val="1F1F1F"/>
        </w:rPr>
        <w:t xml:space="preserve">The survey also indicated a notable interest in </w:t>
      </w:r>
      <w:r>
        <w:rPr>
          <w:rStyle w:val="Strong"/>
          <w:rFonts w:ascii="Arial" w:eastAsiaTheme="majorEastAsia" w:hAnsi="Arial" w:cs="Arial"/>
          <w:color w:val="1F1F1F"/>
        </w:rPr>
        <w:t>online courses</w:t>
      </w:r>
      <w:r>
        <w:rPr>
          <w:rFonts w:ascii="Arial" w:hAnsi="Arial" w:cs="Arial"/>
          <w:color w:val="1F1F1F"/>
        </w:rPr>
        <w:t>. This suggests that flexibility and accessibility are important factors for university students considering alternative education options.</w:t>
      </w:r>
    </w:p>
    <w:p w14:paraId="1A2F4B41" w14:textId="600039EB" w:rsidR="00E96B82" w:rsidRPr="00E96B82" w:rsidRDefault="00E96B82" w:rsidP="00E96B82">
      <w:pPr>
        <w:spacing w:before="100" w:beforeAutospacing="1" w:after="100" w:afterAutospacing="1"/>
        <w:ind w:left="1080"/>
        <w:rPr>
          <w:rFonts w:ascii="Times New Roman" w:eastAsia="Times New Roman" w:hAnsi="Times New Roman" w:cs="Times New Roman"/>
          <w:lang w:eastAsia="en-GB"/>
        </w:rPr>
      </w:pPr>
      <w:r w:rsidRPr="00E96B82">
        <w:rPr>
          <w:rFonts w:ascii="Times New Roman" w:eastAsia="Times New Roman" w:hAnsi="Times New Roman" w:cs="Times New Roman"/>
          <w:lang w:eastAsia="en-GB"/>
        </w:rPr>
        <w:lastRenderedPageBreak/>
        <w:t>.</w:t>
      </w:r>
    </w:p>
    <w:p w14:paraId="005BDA02" w14:textId="4B0EE807" w:rsidR="00E96B82" w:rsidRPr="00E96B82" w:rsidRDefault="00E96B82" w:rsidP="00E96B82"/>
    <w:sectPr w:rsidR="00E96B82" w:rsidRPr="00E96B82" w:rsidSect="00C8643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2"/>
  </w:num>
  <w:num w:numId="2" w16cid:durableId="67003186">
    <w:abstractNumId w:val="3"/>
  </w:num>
  <w:num w:numId="3" w16cid:durableId="1385833514">
    <w:abstractNumId w:val="0"/>
  </w:num>
  <w:num w:numId="4" w16cid:durableId="1805124741">
    <w:abstractNumId w:val="1"/>
  </w:num>
  <w:num w:numId="5" w16cid:durableId="481314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B6136"/>
    <w:rsid w:val="0018382B"/>
    <w:rsid w:val="003A503A"/>
    <w:rsid w:val="005D5C9B"/>
    <w:rsid w:val="00710B63"/>
    <w:rsid w:val="007505CB"/>
    <w:rsid w:val="008732ED"/>
    <w:rsid w:val="009B1F4B"/>
    <w:rsid w:val="00B159BA"/>
    <w:rsid w:val="00B75926"/>
    <w:rsid w:val="00BF68E2"/>
    <w:rsid w:val="00C21355"/>
    <w:rsid w:val="00C86435"/>
    <w:rsid w:val="00DE06E9"/>
    <w:rsid w:val="00E06D95"/>
    <w:rsid w:val="00E96B82"/>
    <w:rsid w:val="00ED39FF"/>
    <w:rsid w:val="00F56820"/>
    <w:rsid w:val="0DA62E0F"/>
    <w:rsid w:val="0FD466C7"/>
    <w:rsid w:val="3D2F5128"/>
    <w:rsid w:val="579617F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semiHidden/>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styleId="Strong">
    <w:name w:val="Strong"/>
    <w:basedOn w:val="DefaultParagraphFont"/>
    <w:uiPriority w:val="22"/>
    <w:qFormat/>
    <w:rsid w:val="00710B63"/>
    <w:rPr>
      <w:b/>
      <w:bCs/>
    </w:rPr>
  </w:style>
  <w:style w:type="character" w:customStyle="1" w:styleId="adtyne">
    <w:name w:val="adtyne"/>
    <w:basedOn w:val="DefaultParagraphFont"/>
    <w:rsid w:val="00ED39FF"/>
  </w:style>
  <w:style w:type="paragraph" w:styleId="NormalWeb">
    <w:name w:val="Normal (Web)"/>
    <w:basedOn w:val="Normal"/>
    <w:uiPriority w:val="99"/>
    <w:semiHidden/>
    <w:unhideWhenUsed/>
    <w:rsid w:val="00ED39FF"/>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467">
      <w:bodyDiv w:val="1"/>
      <w:marLeft w:val="0"/>
      <w:marRight w:val="0"/>
      <w:marTop w:val="0"/>
      <w:marBottom w:val="0"/>
      <w:divBdr>
        <w:top w:val="none" w:sz="0" w:space="0" w:color="auto"/>
        <w:left w:val="none" w:sz="0" w:space="0" w:color="auto"/>
        <w:bottom w:val="none" w:sz="0" w:space="0" w:color="auto"/>
        <w:right w:val="none" w:sz="0" w:space="0" w:color="auto"/>
      </w:divBdr>
    </w:div>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954483958">
      <w:bodyDiv w:val="1"/>
      <w:marLeft w:val="0"/>
      <w:marRight w:val="0"/>
      <w:marTop w:val="0"/>
      <w:marBottom w:val="0"/>
      <w:divBdr>
        <w:top w:val="none" w:sz="0" w:space="0" w:color="auto"/>
        <w:left w:val="none" w:sz="0" w:space="0" w:color="auto"/>
        <w:bottom w:val="none" w:sz="0" w:space="0" w:color="auto"/>
        <w:right w:val="none" w:sz="0" w:space="0" w:color="auto"/>
      </w:divBdr>
      <w:divsChild>
        <w:div w:id="1089888991">
          <w:marLeft w:val="0"/>
          <w:marRight w:val="0"/>
          <w:marTop w:val="0"/>
          <w:marBottom w:val="0"/>
          <w:divBdr>
            <w:top w:val="none" w:sz="0" w:space="0" w:color="auto"/>
            <w:left w:val="none" w:sz="0" w:space="0" w:color="auto"/>
            <w:bottom w:val="none" w:sz="0" w:space="0" w:color="auto"/>
            <w:right w:val="none" w:sz="0" w:space="0" w:color="auto"/>
          </w:divBdr>
          <w:divsChild>
            <w:div w:id="1802310616">
              <w:marLeft w:val="0"/>
              <w:marRight w:val="0"/>
              <w:marTop w:val="0"/>
              <w:marBottom w:val="0"/>
              <w:divBdr>
                <w:top w:val="none" w:sz="0" w:space="0" w:color="auto"/>
                <w:left w:val="none" w:sz="0" w:space="0" w:color="auto"/>
                <w:bottom w:val="none" w:sz="0" w:space="0" w:color="auto"/>
                <w:right w:val="none" w:sz="0" w:space="0" w:color="auto"/>
              </w:divBdr>
              <w:divsChild>
                <w:div w:id="1558973096">
                  <w:marLeft w:val="180"/>
                  <w:marRight w:val="0"/>
                  <w:marTop w:val="0"/>
                  <w:marBottom w:val="0"/>
                  <w:divBdr>
                    <w:top w:val="none" w:sz="0" w:space="0" w:color="auto"/>
                    <w:left w:val="none" w:sz="0" w:space="0" w:color="auto"/>
                    <w:bottom w:val="none" w:sz="0" w:space="0" w:color="auto"/>
                    <w:right w:val="none" w:sz="0" w:space="0" w:color="auto"/>
                  </w:divBdr>
                  <w:divsChild>
                    <w:div w:id="7825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9255">
          <w:marLeft w:val="0"/>
          <w:marRight w:val="0"/>
          <w:marTop w:val="0"/>
          <w:marBottom w:val="0"/>
          <w:divBdr>
            <w:top w:val="none" w:sz="0" w:space="0" w:color="auto"/>
            <w:left w:val="none" w:sz="0" w:space="0" w:color="auto"/>
            <w:bottom w:val="none" w:sz="0" w:space="0" w:color="auto"/>
            <w:right w:val="none" w:sz="0" w:space="0" w:color="auto"/>
          </w:divBdr>
          <w:divsChild>
            <w:div w:id="1271863880">
              <w:marLeft w:val="0"/>
              <w:marRight w:val="0"/>
              <w:marTop w:val="0"/>
              <w:marBottom w:val="0"/>
              <w:divBdr>
                <w:top w:val="none" w:sz="0" w:space="0" w:color="auto"/>
                <w:left w:val="none" w:sz="0" w:space="0" w:color="auto"/>
                <w:bottom w:val="none" w:sz="0" w:space="0" w:color="auto"/>
                <w:right w:val="none" w:sz="0" w:space="0" w:color="auto"/>
              </w:divBdr>
              <w:divsChild>
                <w:div w:id="1609435355">
                  <w:marLeft w:val="180"/>
                  <w:marRight w:val="0"/>
                  <w:marTop w:val="0"/>
                  <w:marBottom w:val="0"/>
                  <w:divBdr>
                    <w:top w:val="none" w:sz="0" w:space="0" w:color="auto"/>
                    <w:left w:val="none" w:sz="0" w:space="0" w:color="auto"/>
                    <w:bottom w:val="none" w:sz="0" w:space="0" w:color="auto"/>
                    <w:right w:val="none" w:sz="0" w:space="0" w:color="auto"/>
                  </w:divBdr>
                  <w:divsChild>
                    <w:div w:id="5501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USER</cp:lastModifiedBy>
  <cp:revision>5</cp:revision>
  <dcterms:created xsi:type="dcterms:W3CDTF">2024-03-10T17:39:00Z</dcterms:created>
  <dcterms:modified xsi:type="dcterms:W3CDTF">2024-03-10T19:26:00Z</dcterms:modified>
</cp:coreProperties>
</file>