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200" w:before="0"/>
        <w:jc w:val="center"/>
      </w:pPr>
      <w:r>
        <w:rPr>
          <w:rFonts w:ascii="Arial" w:cs="Arial" w:eastAsia="Arial" w:hAnsi="Arial"/>
          <w:b/>
          <w:bCs/>
          <w:color w:val="1E3A5F"/>
          <w:sz w:val="52"/>
          <w:szCs w:val="52"/>
        </w:rPr>
        <w:t xml:space="preserve">AIRLINE LOYALTY PROGRAM</w:t>
      </w:r>
    </w:p>
    <w:p>
      <w:pPr>
        <w:spacing w:after="100" w:before="0"/>
        <w:jc w:val="center"/>
      </w:pPr>
      <w:r>
        <w:rPr>
          <w:rFonts w:ascii="Arial" w:cs="Arial" w:eastAsia="Arial" w:hAnsi="Arial"/>
          <w:color w:val="2E5F8A"/>
          <w:sz w:val="36"/>
          <w:szCs w:val="36"/>
        </w:rPr>
        <w:t xml:space="preserve">Churn Prediction, Customer Segmentation</w:t>
      </w:r>
    </w:p>
    <w:p>
      <w:pPr>
        <w:spacing w:after="500" w:before="0"/>
        <w:jc w:val="center"/>
      </w:pPr>
      <w:r>
        <w:rPr>
          <w:rFonts w:ascii="Arial" w:cs="Arial" w:eastAsia="Arial" w:hAnsi="Arial"/>
          <w:color w:val="2E5F8A"/>
          <w:sz w:val="36"/>
          <w:szCs w:val="36"/>
        </w:rPr>
        <w:t xml:space="preserve">&amp; Retention Strategy</w:t>
      </w:r>
    </w:p>
    <w:p>
      <w:pPr>
        <w:pBdr>
          <w:top w:val="single" w:color="2E5F8A" w:sz="8" w:space="1"/>
        </w:pBdr>
        <w:spacing w:after="100" w:before="0"/>
        <w:jc w:val="center"/>
      </w:pPr>
      <w:r>
        <w:rPr>
          <w:rFonts w:ascii="Arial" w:cs="Arial" w:eastAsia="Arial" w:hAnsi="Arial"/>
          <w:sz w:val="24"/>
          <w:szCs w:val="24"/>
        </w:rPr>
        <w:t xml:space="preserve"/>
      </w:r>
    </w:p>
    <w:p>
      <w:pPr>
        <w:spacing w:after="80" w:before="100"/>
        <w:jc w:val="center"/>
      </w:pPr>
      <w:r>
        <w:rPr>
          <w:rFonts w:ascii="Arial" w:cs="Arial" w:eastAsia="Arial" w:hAnsi="Arial"/>
          <w:color w:val="555555"/>
          <w:sz w:val="26"/>
          <w:szCs w:val="26"/>
        </w:rPr>
        <w:t xml:space="preserve">Technical Report — Business Analytics Team</w:t>
      </w:r>
    </w:p>
    <w:p>
      <w:pPr>
        <w:spacing w:after="80" w:before="0"/>
        <w:jc w:val="center"/>
      </w:pPr>
      <w:r>
        <w:rPr>
          <w:rFonts w:ascii="Arial" w:cs="Arial" w:eastAsia="Arial" w:hAnsi="Arial"/>
          <w:color w:val="777777"/>
          <w:sz w:val="24"/>
          <w:szCs w:val="24"/>
        </w:rPr>
        <w:t xml:space="preserve">Canadian Loyalty Program · 16,737 Members · 2012–2018</w:t>
      </w:r>
    </w:p>
    <w:p>
      <w:pPr>
        <w:spacing w:after="80" w:before="0"/>
        <w:jc w:val="center"/>
      </w:pPr>
      <w:r>
        <w:rPr>
          <w:rFonts w:ascii="Arial" w:cs="Arial" w:eastAsia="Arial" w:hAnsi="Arial"/>
          <w:color w:val="777777"/>
          <w:sz w:val="24"/>
          <w:szCs w:val="24"/>
        </w:rPr>
        <w:t xml:space="preserve">June 2026</w:t>
      </w:r>
    </w:p>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r>
        <w:br w:type="page"/>
      </w:r>
    </w:p>
    <w:p>
      <w:pPr>
        <w:pStyle w:val="Heading1"/>
        <w:spacing w:after="160" w:before="320"/>
      </w:pPr>
      <w:r>
        <w:rPr>
          <w:rFonts w:ascii="Arial" w:cs="Arial" w:eastAsia="Arial" w:hAnsi="Arial"/>
          <w:b/>
          <w:bCs/>
          <w:color w:val="1E3A5F"/>
          <w:sz w:val="32"/>
          <w:szCs w:val="32"/>
        </w:rPr>
        <w:t xml:space="preserve">1. Executive Summary</w:t>
      </w:r>
    </w:p>
    <w:p>
      <w:pPr>
        <w:pStyle w:val="Normal"/>
        <w:spacing w:after="100" w:before="80"/>
      </w:pPr>
      <w:r>
        <w:rPr>
          <w:rFonts w:ascii="Arial" w:cs="Arial" w:eastAsia="Arial" w:hAnsi="Arial"/>
          <w:sz w:val="24"/>
          <w:szCs w:val="24"/>
        </w:rPr>
        <w:t xml:space="preserve">This report presents a complete analytical solution for improving retention in the airline's Canadian loyalty program. Using six years of member-level behavioral data (2012–2018) covering 16,737 members, we built a churn prediction model, a five-segment value framework, and a segment-specific retention playbook that a marketing team can execute without specialist support.</w:t>
      </w:r>
    </w:p>
    <w:p>
      <w:pPr>
        <w:spacing w:after="60" w:before="60"/>
      </w:pPr>
      <w:r>
        <w:rPr>
          <w:rFonts w:ascii="Arial" w:cs="Arial" w:eastAsia="Arial" w:hAnsi="Arial"/>
          <w:sz w:val="24"/>
          <w:szCs w:val="24"/>
        </w:rPr>
        <w:t xml:space="preserve"/>
      </w:r>
    </w:p>
    <w:p>
      <w:pPr>
        <w:spacing w:after="80" w:before="160"/>
      </w:pPr>
      <w:r>
        <w:rPr>
          <w:rFonts w:ascii="Arial" w:cs="Arial" w:eastAsia="Arial" w:hAnsi="Arial"/>
          <w:b/>
          <w:bCs/>
          <w:color w:val="1E3A5F"/>
          <w:sz w:val="24"/>
          <w:szCs w:val="24"/>
        </w:rPr>
        <w:t xml:space="preserve">What we found</w:t>
      </w:r>
    </w:p>
    <w:p>
      <w:pPr>
        <w:pStyle w:val="Normal"/>
        <w:spacing w:after="100" w:before="80"/>
      </w:pPr>
      <w:r>
        <w:rPr>
          <w:rFonts w:ascii="Arial" w:cs="Arial" w:eastAsia="Arial" w:hAnsi="Arial"/>
          <w:sz w:val="24"/>
          <w:szCs w:val="24"/>
        </w:rPr>
        <w:t xml:space="preserve">Among the 14,670 members active in the 2018 snapshot, </w:t>
      </w:r>
      <w:r>
        <w:rPr>
          <w:rFonts w:ascii="Arial" w:cs="Arial" w:eastAsia="Arial" w:hAnsi="Arial"/>
          <w:b/>
          <w:bCs/>
          <w:sz w:val="24"/>
          <w:szCs w:val="24"/>
        </w:rPr>
        <w:t xml:space="preserve">348 members carry a churn probability above 25%</w:t>
      </w:r>
      <w:r>
        <w:rPr>
          <w:rFonts w:ascii="Arial" w:cs="Arial" w:eastAsia="Arial" w:hAnsi="Arial"/>
          <w:sz w:val="24"/>
          <w:szCs w:val="24"/>
        </w:rPr>
        <w:t xml:space="preserve"> and represent the most urgent intervention target. A further 98 are in the medium-risk band (10–25%). The highest-priority group is </w:t>
      </w:r>
      <w:r>
        <w:rPr>
          <w:rFonts w:ascii="Arial" w:cs="Arial" w:eastAsia="Arial" w:hAnsi="Arial"/>
          <w:b/>
          <w:bCs/>
          <w:sz w:val="24"/>
          <w:szCs w:val="24"/>
        </w:rPr>
        <w:t xml:space="preserve">At-Risk Lapsed</w:t>
      </w:r>
      <w:r>
        <w:rPr>
          <w:rFonts w:ascii="Arial" w:cs="Arial" w:eastAsia="Arial" w:hAnsi="Arial"/>
          <w:sz w:val="24"/>
          <w:szCs w:val="24"/>
        </w:rPr>
        <w:t xml:space="preserve">: 669 members who flew regularly in prior years but recorded zero flights in the preceding 12 months, with an average churn probability of 26%. Their average historical CLV is $8,118 — essentially equivalent to the portfolio average — meaning these are not marginal customers; they are formerly valuable members who have silently disengaged.</w:t>
      </w:r>
    </w:p>
    <w:p>
      <w:pPr>
        <w:spacing w:after="60" w:before="60"/>
      </w:pPr>
      <w:r>
        <w:rPr>
          <w:rFonts w:ascii="Arial" w:cs="Arial" w:eastAsia="Arial" w:hAnsi="Arial"/>
          <w:sz w:val="24"/>
          <w:szCs w:val="24"/>
        </w:rPr>
        <w:t xml:space="preserve"/>
      </w:r>
    </w:p>
    <w:p>
      <w:pPr>
        <w:spacing w:after="80" w:before="160"/>
      </w:pPr>
      <w:r>
        <w:rPr>
          <w:rFonts w:ascii="Arial" w:cs="Arial" w:eastAsia="Arial" w:hAnsi="Arial"/>
          <w:b/>
          <w:bCs/>
          <w:color w:val="1E3A5F"/>
          <w:sz w:val="24"/>
          <w:szCs w:val="24"/>
        </w:rPr>
        <w:t xml:space="preserve">What the model found</w:t>
      </w:r>
    </w:p>
    <w:p>
      <w:pPr>
        <w:pStyle w:val="ListParagraph"/>
        <w:numPr>
          <w:ilvl w:val="0"/>
          <w:numId w:val="2"/>
        </w:numPr>
        <w:spacing w:after="60" w:before="60"/>
      </w:pPr>
      <w:r>
        <w:rPr>
          <w:rFonts w:ascii="Arial" w:cs="Arial" w:eastAsia="Arial" w:hAnsi="Arial"/>
          <w:b/>
          <w:bCs/>
          <w:sz w:val="24"/>
          <w:szCs w:val="24"/>
        </w:rPr>
        <w:t xml:space="preserve">Tenure and recency dominate churn</w:t>
      </w:r>
      <w:r>
        <w:rPr>
          <w:rFonts w:ascii="Arial" w:cs="Arial" w:eastAsia="Arial" w:hAnsi="Arial"/>
          <w:sz w:val="24"/>
          <w:szCs w:val="24"/>
        </w:rPr>
        <w:t xml:space="preserve">. Members who joined recently and have not flown in several months are at disproportionate risk, regardless of card tier or income level.</w:t>
      </w:r>
    </w:p>
    <w:p>
      <w:pPr>
        <w:pStyle w:val="ListParagraph"/>
        <w:numPr>
          <w:ilvl w:val="0"/>
          <w:numId w:val="2"/>
        </w:numPr>
        <w:spacing w:after="60" w:before="60"/>
      </w:pPr>
      <w:r>
        <w:rPr>
          <w:rFonts w:ascii="Arial" w:cs="Arial" w:eastAsia="Arial" w:hAnsi="Arial"/>
          <w:b/>
          <w:bCs/>
          <w:sz w:val="24"/>
          <w:szCs w:val="24"/>
        </w:rPr>
        <w:t xml:space="preserve">CLV is not a good forward-looking indicator</w:t>
      </w:r>
      <w:r>
        <w:rPr>
          <w:rFonts w:ascii="Arial" w:cs="Arial" w:eastAsia="Arial" w:hAnsi="Arial"/>
          <w:sz w:val="24"/>
          <w:szCs w:val="24"/>
        </w:rPr>
        <w:t xml:space="preserve">. Historical spend does not predict future activity. A member can have a high CLV and be fully disengaged.</w:t>
      </w:r>
    </w:p>
    <w:p>
      <w:pPr>
        <w:pStyle w:val="ListParagraph"/>
        <w:numPr>
          <w:ilvl w:val="0"/>
          <w:numId w:val="2"/>
        </w:numPr>
        <w:spacing w:after="60" w:before="60"/>
      </w:pPr>
      <w:r>
        <w:rPr>
          <w:rFonts w:ascii="Arial" w:cs="Arial" w:eastAsia="Arial" w:hAnsi="Arial"/>
          <w:b/>
          <w:bCs/>
          <w:sz w:val="24"/>
          <w:szCs w:val="24"/>
        </w:rPr>
        <w:t xml:space="preserve">Salary and card tier matter less than behaviour</w:t>
      </w:r>
      <w:r>
        <w:rPr>
          <w:rFonts w:ascii="Arial" w:cs="Arial" w:eastAsia="Arial" w:hAnsi="Arial"/>
          <w:sz w:val="24"/>
          <w:szCs w:val="24"/>
        </w:rPr>
        <w:t xml:space="preserve">. The top two churn drivers are time-based (tenure, recency); the first demographic signal appears only in third place.</w:t>
      </w:r>
    </w:p>
    <w:p>
      <w:pPr>
        <w:spacing w:after="60" w:before="60"/>
      </w:pPr>
      <w:r>
        <w:rPr>
          <w:rFonts w:ascii="Arial" w:cs="Arial" w:eastAsia="Arial" w:hAnsi="Arial"/>
          <w:sz w:val="24"/>
          <w:szCs w:val="24"/>
        </w:rPr>
        <w:t xml:space="preserve"/>
      </w:r>
    </w:p>
    <w:p>
      <w:pPr>
        <w:spacing w:after="80" w:before="160"/>
      </w:pPr>
      <w:r>
        <w:rPr>
          <w:rFonts w:ascii="Arial" w:cs="Arial" w:eastAsia="Arial" w:hAnsi="Arial"/>
          <w:b/>
          <w:bCs/>
          <w:color w:val="1E3A5F"/>
          <w:sz w:val="24"/>
          <w:szCs w:val="24"/>
        </w:rPr>
        <w:t xml:space="preserve">Three recommendations a CFO and CMO can both support</w:t>
      </w:r>
    </w:p>
    <w:p>
      <w:pPr>
        <w:pStyle w:val="ListParagraph"/>
        <w:numPr>
          <w:ilvl w:val="0"/>
          <w:numId w:val="2"/>
        </w:numPr>
        <w:spacing w:after="60" w:before="60"/>
      </w:pPr>
      <w:r>
        <w:rPr>
          <w:rFonts w:ascii="Arial" w:cs="Arial" w:eastAsia="Arial" w:hAnsi="Arial"/>
          <w:b/>
          <w:bCs/>
          <w:sz w:val="24"/>
          <w:szCs w:val="24"/>
        </w:rPr>
        <w:t xml:space="preserve">Launch a 90-day win-back campaign for the At-Risk Lapsed segment</w:t>
      </w:r>
      <w:r>
        <w:rPr>
          <w:rFonts w:ascii="Arial" w:cs="Arial" w:eastAsia="Arial" w:hAnsi="Arial"/>
          <w:sz w:val="24"/>
          <w:szCs w:val="24"/>
        </w:rPr>
        <w:t xml:space="preserve"> (669 members). Estimated re-activation at a conservative 15% rate recovers approximately 100 members with average CLV of $8,118 — roughly $810,000 in future revenue exposure — at a campaign cost of under $50 per member.</w:t>
      </w:r>
    </w:p>
    <w:p>
      <w:pPr>
        <w:pStyle w:val="ListParagraph"/>
        <w:numPr>
          <w:ilvl w:val="0"/>
          <w:numId w:val="2"/>
        </w:numPr>
        <w:spacing w:after="60" w:before="60"/>
      </w:pPr>
      <w:r>
        <w:rPr>
          <w:rFonts w:ascii="Arial" w:cs="Arial" w:eastAsia="Arial" w:hAnsi="Arial"/>
          <w:b/>
          <w:bCs/>
          <w:sz w:val="24"/>
          <w:szCs w:val="24"/>
        </w:rPr>
        <w:t xml:space="preserve">Build a First-Year Habit Formation programme</w:t>
      </w:r>
      <w:r>
        <w:rPr>
          <w:rFonts w:ascii="Arial" w:cs="Arial" w:eastAsia="Arial" w:hAnsi="Arial"/>
          <w:sz w:val="24"/>
          <w:szCs w:val="24"/>
        </w:rPr>
        <w:t xml:space="preserve"> for Casual/Emerging members (2,589 members, avg 13 months tenure). Members who complete three flights in their first year are disproportionately likely to graduate to higher tiers. This is the cheapest retention lever: members are already engaged, they simply need a structured nudge.</w:t>
      </w:r>
    </w:p>
    <w:p>
      <w:pPr>
        <w:pStyle w:val="ListParagraph"/>
        <w:numPr>
          <w:ilvl w:val="0"/>
          <w:numId w:val="2"/>
        </w:numPr>
        <w:spacing w:after="60" w:before="60"/>
      </w:pPr>
      <w:r>
        <w:rPr>
          <w:rFonts w:ascii="Arial" w:cs="Arial" w:eastAsia="Arial" w:hAnsi="Arial"/>
          <w:b/>
          <w:bCs/>
          <w:sz w:val="24"/>
          <w:szCs w:val="24"/>
        </w:rPr>
        <w:t xml:space="preserve">Redefine the performance metric for the loyalty programme</w:t>
      </w:r>
      <w:r>
        <w:rPr>
          <w:rFonts w:ascii="Arial" w:cs="Arial" w:eastAsia="Arial" w:hAnsi="Arial"/>
          <w:sz w:val="24"/>
          <w:szCs w:val="24"/>
        </w:rPr>
        <w:t xml:space="preserve"> from aggregate CLV to Future Value Score (FVS). FVS accounts for current activity trajectory and churn risk, not just historical spend. Running the programme against FVS changes who gets contacted, when, and with what offer.</w:t>
      </w:r>
    </w:p>
    <w:p>
      <w:r>
        <w:br w:type="page"/>
      </w:r>
    </w:p>
    <w:p>
      <w:pPr>
        <w:pStyle w:val="Heading1"/>
        <w:spacing w:after="160" w:before="320"/>
      </w:pPr>
      <w:r>
        <w:rPr>
          <w:rFonts w:ascii="Arial" w:cs="Arial" w:eastAsia="Arial" w:hAnsi="Arial"/>
          <w:b/>
          <w:bCs/>
          <w:color w:val="1E3A5F"/>
          <w:sz w:val="32"/>
          <w:szCs w:val="32"/>
        </w:rPr>
        <w:t xml:space="preserve">2. Problem Framing &amp; Churn Definition</w:t>
      </w:r>
    </w:p>
    <w:p>
      <w:pPr>
        <w:pStyle w:val="Heading2"/>
        <w:spacing w:after="120" w:before="240"/>
      </w:pPr>
      <w:r>
        <w:rPr>
          <w:rFonts w:ascii="Arial" w:cs="Arial" w:eastAsia="Arial" w:hAnsi="Arial"/>
          <w:b/>
          <w:bCs/>
          <w:color w:val="2E5F8A"/>
          <w:sz w:val="28"/>
          <w:szCs w:val="28"/>
        </w:rPr>
        <w:t xml:space="preserve">2.1  Why churn definition matters</w:t>
      </w:r>
    </w:p>
    <w:p>
      <w:pPr>
        <w:pStyle w:val="Normal"/>
        <w:spacing w:after="100" w:before="80"/>
      </w:pPr>
      <w:r>
        <w:rPr>
          <w:rFonts w:ascii="Arial" w:cs="Arial" w:eastAsia="Arial" w:hAnsi="Arial"/>
          <w:sz w:val="24"/>
          <w:szCs w:val="24"/>
        </w:rPr>
        <w:t xml:space="preserve">Airline loyalty churn is not binary. A member can disengage in at least three distinct ways: formal cancellation (observable), complete flight inactivity (observable but unlabelled), or gradual frequency decline (leading indicator). Most models trained only on formal cancellations miss the majority of disengagement — in this dataset, only 2,067 of 16,737 members (12.4%) formally cancelled, while an additional 1,570 members recorded zero flights over the entire 2017–2018 activity window without ever submitting a cancellation.</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2.2  Our churn definition</w:t>
      </w:r>
    </w:p>
    <w:p>
      <w:pPr>
        <w:pStyle w:val="Normal"/>
        <w:spacing w:after="100" w:before="80"/>
      </w:pPr>
      <w:r>
        <w:rPr>
          <w:rFonts w:ascii="Arial" w:cs="Arial" w:eastAsia="Arial" w:hAnsi="Arial"/>
          <w:sz w:val="24"/>
          <w:szCs w:val="24"/>
        </w:rPr>
        <w:t xml:space="preserve">We define churn as: </w:t>
      </w:r>
      <w:r>
        <w:rPr>
          <w:rFonts w:ascii="Arial" w:cs="Arial" w:eastAsia="Arial" w:hAnsi="Arial"/>
          <w:i/>
          <w:iCs/>
          <w:sz w:val="24"/>
          <w:szCs w:val="24"/>
        </w:rPr>
        <w:t xml:space="preserve">a member who either formally cancels their loyalty membership within the label window, or who records zero flights during that window, having been enrolled and not yet cancelled at the start of the window.</w:t>
      </w:r>
      <w:r>
        <w:rPr>
          <w:rFonts w:ascii="Arial" w:cs="Arial" w:eastAsia="Arial" w:hAnsi="Arial"/>
          <w:sz w:val="24"/>
          <w:szCs w:val="24"/>
        </w:rPr>
        <w:t xml:space="preserve"> This is a </w:t>
      </w:r>
      <w:r>
        <w:rPr>
          <w:rFonts w:ascii="Arial" w:cs="Arial" w:eastAsia="Arial" w:hAnsi="Arial"/>
          <w:b/>
          <w:bCs/>
          <w:sz w:val="24"/>
          <w:szCs w:val="24"/>
        </w:rPr>
        <w:t xml:space="preserve">behavioural churn label</w:t>
      </w:r>
      <w:r>
        <w:rPr>
          <w:rFonts w:ascii="Arial" w:cs="Arial" w:eastAsia="Arial" w:hAnsi="Arial"/>
          <w:sz w:val="24"/>
          <w:szCs w:val="24"/>
        </w:rPr>
        <w:t xml:space="preserve">, not just a cancellation flag.</w:t>
      </w:r>
    </w:p>
    <w:p>
      <w:pPr>
        <w:pStyle w:val="Normal"/>
        <w:spacing w:after="100" w:before="80"/>
      </w:pPr>
      <w:r>
        <w:rPr>
          <w:rFonts w:ascii="Arial" w:cs="Arial" w:eastAsia="Arial" w:hAnsi="Arial"/>
          <w:sz w:val="24"/>
          <w:szCs w:val="24"/>
        </w:rPr>
        <w:t xml:space="preserve">Two critical design constraints guided this definition:</w:t>
      </w:r>
    </w:p>
    <w:p>
      <w:pPr>
        <w:pStyle w:val="ListParagraph"/>
        <w:numPr>
          <w:ilvl w:val="0"/>
          <w:numId w:val="2"/>
        </w:numPr>
        <w:spacing w:after="60" w:before="60"/>
      </w:pPr>
      <w:r>
        <w:rPr>
          <w:rFonts w:ascii="Arial" w:cs="Arial" w:eastAsia="Arial" w:hAnsi="Arial"/>
          <w:b/>
          <w:bCs/>
          <w:sz w:val="24"/>
          <w:szCs w:val="24"/>
        </w:rPr>
        <w:t xml:space="preserve">No future leakage.</w:t>
      </w:r>
      <w:r>
        <w:rPr>
          <w:rFonts w:ascii="Arial" w:cs="Arial" w:eastAsia="Arial" w:hAnsi="Arial"/>
          <w:sz w:val="24"/>
          <w:szCs w:val="24"/>
        </w:rPr>
        <w:t xml:space="preserve"> Feature windows are constructed from data strictly prior to the label window. A training snapshot uses features from Jan–Dec 2017 and labels from Jan–Jun 2018. A test snapshot uses features from Jul 2017–Jun 2018 and labels from Jul–Dec 2018. No variable that reflects the label period appears as a feature.</w:t>
      </w:r>
    </w:p>
    <w:p>
      <w:pPr>
        <w:pStyle w:val="ListParagraph"/>
        <w:numPr>
          <w:ilvl w:val="0"/>
          <w:numId w:val="2"/>
        </w:numPr>
        <w:spacing w:after="60" w:before="60"/>
      </w:pPr>
      <w:r>
        <w:rPr>
          <w:rFonts w:ascii="Arial" w:cs="Arial" w:eastAsia="Arial" w:hAnsi="Arial"/>
          <w:b/>
          <w:bCs/>
          <w:sz w:val="24"/>
          <w:szCs w:val="24"/>
        </w:rPr>
        <w:t xml:space="preserve">Population definition.</w:t>
      </w:r>
      <w:r>
        <w:rPr>
          <w:rFonts w:ascii="Arial" w:cs="Arial" w:eastAsia="Arial" w:hAnsi="Arial"/>
          <w:sz w:val="24"/>
          <w:szCs w:val="24"/>
        </w:rPr>
        <w:t xml:space="preserve"> Only members who were enrolled on or before the end of the feature window, and who had not already cancelled within that window, are included. This prevents the model from seeing already-cancelled members as active population.</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2.3  Observed churn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Snapshot</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Population</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Churn Rate</w:t>
            </w:r>
          </w:p>
        </w:tc>
        <w:tc>
          <w:tcPr>
            <w:tcW w:type="dxa" w:w="236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Label Window</w:t>
            </w:r>
          </w:p>
        </w:tc>
      </w:tr>
      <w:tr>
        <w:tc>
          <w:tcPr>
            <w:tcW w:type="dxa" w:w="3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Training</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12,305</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5.0%</w:t>
            </w:r>
          </w:p>
        </w:tc>
        <w:tc>
          <w:tcPr>
            <w:tcW w:type="dxa" w:w="23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Jan–Jun 2018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13,699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5.6%</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Jul–Dec 2018</w:t>
            </w:r>
          </w:p>
        </w:tc>
      </w:tr>
      <w:tr>
        <w:tc>
          <w:tcPr>
            <w:tcW w:type="dxa" w:w="3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Scoring (no label)</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14,670</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w:t>
            </w:r>
          </w:p>
        </w:tc>
        <w:tc>
          <w:tcPr>
            <w:tcW w:type="dxa" w:w="23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Forward-looking</w:t>
            </w:r>
          </w:p>
        </w:tc>
      </w:tr>
    </w:tbl>
    <w:p>
      <w:pPr>
        <w:spacing w:after="60" w:before="60"/>
      </w:pPr>
      <w:r>
        <w:rPr>
          <w:rFonts w:ascii="Arial" w:cs="Arial" w:eastAsia="Arial" w:hAnsi="Arial"/>
          <w:sz w:val="24"/>
          <w:szCs w:val="24"/>
        </w:rPr>
        <w:t xml:space="preserve"/>
      </w:r>
    </w:p>
    <w:p>
      <w:pPr>
        <w:pStyle w:val="Normal"/>
        <w:spacing w:after="100" w:before="80"/>
      </w:pPr>
      <w:r>
        <w:rPr>
          <w:rFonts w:ascii="Arial" w:cs="Arial" w:eastAsia="Arial" w:hAnsi="Arial"/>
          <w:sz w:val="24"/>
          <w:szCs w:val="24"/>
        </w:rPr>
        <w:t xml:space="preserve">The 5–6% behavioural churn rate is substantially higher than the 2.4% formal cancellation rate visible in the raw data. This gap is the opportunity: most at-risk members leave quietly, without triggering any system alert.</w:t>
      </w:r>
    </w:p>
    <w:p>
      <w:r>
        <w:br w:type="page"/>
      </w:r>
    </w:p>
    <w:p>
      <w:pPr>
        <w:pStyle w:val="Heading1"/>
        <w:spacing w:after="160" w:before="320"/>
      </w:pPr>
      <w:r>
        <w:rPr>
          <w:rFonts w:ascii="Arial" w:cs="Arial" w:eastAsia="Arial" w:hAnsi="Arial"/>
          <w:b/>
          <w:bCs/>
          <w:color w:val="1E3A5F"/>
          <w:sz w:val="32"/>
          <w:szCs w:val="32"/>
        </w:rPr>
        <w:t xml:space="preserve">3. Data &amp; Cleaning Decisions</w:t>
      </w:r>
    </w:p>
    <w:p>
      <w:pPr>
        <w:pStyle w:val="Normal"/>
        <w:spacing w:after="100" w:before="80"/>
      </w:pPr>
      <w:r>
        <w:rPr>
          <w:rFonts w:ascii="Arial" w:cs="Arial" w:eastAsia="Arial" w:hAnsi="Arial"/>
          <w:sz w:val="24"/>
          <w:szCs w:val="24"/>
        </w:rPr>
        <w:t xml:space="preserve">The dataset comprises four files: Customer Loyalty History (16,737 member records), Customer Flight Activity (392,936 monthly rows across 2017–2018), a Calendar dimension, and a Data Dictionary. The activity file covers only 2017–2018 despite members enrolled as early as 2012 — this is a known characteristic of the data, not a gap; earlier years were not available for modelling.</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3.1  Anomalies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c>
          <w:tcPr>
            <w:tcW w:type="dxa" w:w="24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Issue</w:t>
            </w:r>
          </w:p>
        </w:tc>
        <w:tc>
          <w:tcPr>
            <w:tcW w:type="dxa" w:w="14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Count</w:t>
            </w:r>
          </w:p>
        </w:tc>
        <w:tc>
          <w:tcPr>
            <w:tcW w:type="dxa" w:w="22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Decision</w:t>
            </w:r>
          </w:p>
        </w:tc>
        <w:tc>
          <w:tcPr>
            <w:tcW w:type="dxa" w:w="336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Rationale</w:t>
            </w:r>
          </w:p>
        </w:tc>
      </w:tr>
      <w:tr>
        <w:tc>
          <w:tcPr>
            <w:tcW w:type="dxa" w:w="2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Exact duplicate activity rows</w:t>
            </w:r>
          </w:p>
        </w:tc>
        <w:tc>
          <w:tcPr>
            <w:tcW w:type="dxa" w:w="1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1,922</w:t>
            </w:r>
          </w:p>
        </w:tc>
        <w:tc>
          <w:tcPr>
            <w:tcW w:type="dxa" w:w="2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Dropped</w:t>
            </w:r>
          </w:p>
        </w:tc>
        <w:tc>
          <w:tcPr>
            <w:tcW w:type="dxa" w:w="33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Identical rows in all fields — double-entry artefact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Non-exact (Loyalty #, Year, Month) key duplicates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1,946 groups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Summed within group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Represent split booking records for same member-month</w:t>
            </w:r>
          </w:p>
        </w:tc>
      </w:tr>
      <w:tr>
        <w:tc>
          <w:tcPr>
            <w:tcW w:type="dxa" w:w="2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Negative salary values</w:t>
            </w:r>
          </w:p>
        </w:tc>
        <w:tc>
          <w:tcPr>
            <w:tcW w:type="dxa" w:w="1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20</w:t>
            </w:r>
          </w:p>
        </w:tc>
        <w:tc>
          <w:tcPr>
            <w:tcW w:type="dxa" w:w="2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Absolute value</w:t>
            </w:r>
          </w:p>
        </w:tc>
        <w:tc>
          <w:tcPr>
            <w:tcW w:type="dxa" w:w="33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Data entry sign error; income cannot be negative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Missing salary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4,238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Imputed by education group median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All 4,238 nulls are College-education members — a systematic data gap, not random</w:t>
            </w:r>
          </w:p>
        </w:tc>
      </w:tr>
      <w:tr>
        <w:tc>
          <w:tcPr>
            <w:tcW w:type="dxa" w:w="2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Activity before enrollment date</w:t>
            </w:r>
          </w:p>
        </w:tc>
        <w:tc>
          <w:tcPr>
            <w:tcW w:type="dxa" w:w="1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498 members</w:t>
            </w:r>
          </w:p>
        </w:tc>
        <w:tc>
          <w:tcPr>
            <w:tcW w:type="dxa" w:w="2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Kept; excluded from pre-/post-enrollment analysis</w:t>
            </w:r>
          </w:p>
        </w:tc>
        <w:tc>
          <w:tcPr>
            <w:tcW w:type="dxa" w:w="33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Likely historical flight credit retroactively added at enrollment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Activity after cancellation date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N/A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No such records found — data is internally consistent</w:t>
            </w:r>
          </w:p>
        </w:tc>
      </w:tr>
      <w:tr>
        <w:tc>
          <w:tcPr>
            <w:tcW w:type="dxa" w:w="2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Zero-flight members (2017–18)</w:t>
            </w:r>
          </w:p>
        </w:tc>
        <w:tc>
          <w:tcPr>
            <w:tcW w:type="dxa" w:w="1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1,570</w:t>
            </w:r>
          </w:p>
        </w:tc>
        <w:tc>
          <w:tcPr>
            <w:tcW w:type="dxa" w:w="2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Retained; classified separately</w:t>
            </w:r>
          </w:p>
        </w:tc>
        <w:tc>
          <w:tcPr>
            <w:tcW w:type="dxa" w:w="33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Distinguishing dormant from cancellation is central to the analysis</w:t>
            </w:r>
          </w:p>
        </w:tc>
      </w:tr>
    </w:tbl>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3.2  Feature construction</w:t>
      </w:r>
    </w:p>
    <w:p>
      <w:pPr>
        <w:pStyle w:val="Normal"/>
        <w:spacing w:after="100" w:before="80"/>
      </w:pPr>
      <w:r>
        <w:rPr>
          <w:rFonts w:ascii="Arial" w:cs="Arial" w:eastAsia="Arial" w:hAnsi="Arial"/>
          <w:sz w:val="24"/>
          <w:szCs w:val="24"/>
        </w:rPr>
        <w:t xml:space="preserve">All features are computed as trailing-window aggregates over the 12 months preceding each snapshot date. The window design ensures no future information is used. Key engineered features include:</w:t>
      </w:r>
    </w:p>
    <w:p>
      <w:pPr>
        <w:pStyle w:val="ListParagraph"/>
        <w:numPr>
          <w:ilvl w:val="0"/>
          <w:numId w:val="2"/>
        </w:numPr>
        <w:spacing w:after="60" w:before="60"/>
      </w:pPr>
      <w:r>
        <w:rPr>
          <w:rFonts w:ascii="Arial" w:cs="Arial" w:eastAsia="Arial" w:hAnsi="Arial"/>
          <w:b/>
          <w:bCs/>
          <w:sz w:val="24"/>
          <w:szCs w:val="24"/>
        </w:rPr>
        <w:t xml:space="preserve">Recency</w:t>
      </w:r>
      <w:r>
        <w:rPr>
          <w:rFonts w:ascii="Arial" w:cs="Arial" w:eastAsia="Arial" w:hAnsi="Arial"/>
          <w:sz w:val="24"/>
          <w:szCs w:val="24"/>
        </w:rPr>
        <w:t xml:space="preserve">: months since the member's most recent flight. Members with no flights in the window receive the maximum value (12).</w:t>
      </w:r>
    </w:p>
    <w:p>
      <w:pPr>
        <w:pStyle w:val="ListParagraph"/>
        <w:numPr>
          <w:ilvl w:val="0"/>
          <w:numId w:val="2"/>
        </w:numPr>
        <w:spacing w:after="60" w:before="60"/>
      </w:pPr>
      <w:r>
        <w:rPr>
          <w:rFonts w:ascii="Arial" w:cs="Arial" w:eastAsia="Arial" w:hAnsi="Arial"/>
          <w:b/>
          <w:bCs/>
          <w:sz w:val="24"/>
          <w:szCs w:val="24"/>
        </w:rPr>
        <w:t xml:space="preserve">Trend</w:t>
      </w:r>
      <w:r>
        <w:rPr>
          <w:rFonts w:ascii="Arial" w:cs="Arial" w:eastAsia="Arial" w:hAnsi="Arial"/>
          <w:sz w:val="24"/>
          <w:szCs w:val="24"/>
        </w:rPr>
        <w:t xml:space="preserve">: flights in the second half of the window minus flights in the first half — captures momentum.</w:t>
      </w:r>
    </w:p>
    <w:p>
      <w:pPr>
        <w:pStyle w:val="ListParagraph"/>
        <w:numPr>
          <w:ilvl w:val="0"/>
          <w:numId w:val="2"/>
        </w:numPr>
        <w:spacing w:after="60" w:before="60"/>
      </w:pPr>
      <w:r>
        <w:rPr>
          <w:rFonts w:ascii="Arial" w:cs="Arial" w:eastAsia="Arial" w:hAnsi="Arial"/>
          <w:b/>
          <w:bCs/>
          <w:sz w:val="24"/>
          <w:szCs w:val="24"/>
        </w:rPr>
        <w:t xml:space="preserve">Redemption ratio</w:t>
      </w:r>
      <w:r>
        <w:rPr>
          <w:rFonts w:ascii="Arial" w:cs="Arial" w:eastAsia="Arial" w:hAnsi="Arial"/>
          <w:sz w:val="24"/>
          <w:szCs w:val="24"/>
        </w:rPr>
        <w:t xml:space="preserve">: points redeemed divided by points accumulated. High redemption signals programme engagement, not just flying.</w:t>
      </w:r>
    </w:p>
    <w:p>
      <w:pPr>
        <w:pStyle w:val="ListParagraph"/>
        <w:numPr>
          <w:ilvl w:val="0"/>
          <w:numId w:val="2"/>
        </w:numPr>
        <w:spacing w:after="60" w:before="60"/>
      </w:pPr>
      <w:r>
        <w:rPr>
          <w:rFonts w:ascii="Arial" w:cs="Arial" w:eastAsia="Arial" w:hAnsi="Arial"/>
          <w:b/>
          <w:bCs/>
          <w:sz w:val="24"/>
          <w:szCs w:val="24"/>
        </w:rPr>
        <w:t xml:space="preserve">Tenure</w:t>
      </w:r>
      <w:r>
        <w:rPr>
          <w:rFonts w:ascii="Arial" w:cs="Arial" w:eastAsia="Arial" w:hAnsi="Arial"/>
          <w:sz w:val="24"/>
          <w:szCs w:val="24"/>
        </w:rPr>
        <w:t xml:space="preserve">: months since enrollment as of the snapshot date. Tenure turns out to be the single most predictive feature in the final model.</w:t>
      </w:r>
    </w:p>
    <w:p>
      <w:pPr>
        <w:pStyle w:val="ListParagraph"/>
        <w:numPr>
          <w:ilvl w:val="0"/>
          <w:numId w:val="2"/>
        </w:numPr>
        <w:spacing w:after="60" w:before="60"/>
      </w:pPr>
      <w:r>
        <w:rPr>
          <w:rFonts w:ascii="Arial" w:cs="Arial" w:eastAsia="Arial" w:hAnsi="Arial"/>
          <w:b/>
          <w:bCs/>
          <w:sz w:val="24"/>
          <w:szCs w:val="24"/>
        </w:rPr>
        <w:t xml:space="preserve">Flights in last 3 months</w:t>
      </w:r>
      <w:r>
        <w:rPr>
          <w:rFonts w:ascii="Arial" w:cs="Arial" w:eastAsia="Arial" w:hAnsi="Arial"/>
          <w:sz w:val="24"/>
          <w:szCs w:val="24"/>
        </w:rPr>
        <w:t xml:space="preserve">: a short-horizon recency signal that captures very recent disengagement before it shows in full-year totals.</w:t>
      </w:r>
    </w:p>
    <w:p>
      <w:r>
        <w:br w:type="page"/>
      </w:r>
    </w:p>
    <w:p>
      <w:pPr>
        <w:pStyle w:val="Heading1"/>
        <w:spacing w:after="160" w:before="320"/>
      </w:pPr>
      <w:r>
        <w:rPr>
          <w:rFonts w:ascii="Arial" w:cs="Arial" w:eastAsia="Arial" w:hAnsi="Arial"/>
          <w:b/>
          <w:bCs/>
          <w:color w:val="1E3A5F"/>
          <w:sz w:val="32"/>
          <w:szCs w:val="32"/>
        </w:rPr>
        <w:t xml:space="preserve">4. Churn Prediction Model</w:t>
      </w:r>
    </w:p>
    <w:p>
      <w:pPr>
        <w:pStyle w:val="Heading2"/>
        <w:spacing w:after="120" w:before="240"/>
      </w:pPr>
      <w:r>
        <w:rPr>
          <w:rFonts w:ascii="Arial" w:cs="Arial" w:eastAsia="Arial" w:hAnsi="Arial"/>
          <w:b/>
          <w:bCs/>
          <w:color w:val="2E5F8A"/>
          <w:sz w:val="28"/>
          <w:szCs w:val="28"/>
        </w:rPr>
        <w:t xml:space="preserve">4.1  Approach</w:t>
      </w:r>
    </w:p>
    <w:p>
      <w:pPr>
        <w:pStyle w:val="Normal"/>
        <w:spacing w:after="100" w:before="80"/>
      </w:pPr>
      <w:r>
        <w:rPr>
          <w:rFonts w:ascii="Arial" w:cs="Arial" w:eastAsia="Arial" w:hAnsi="Arial"/>
          <w:sz w:val="24"/>
          <w:szCs w:val="24"/>
        </w:rPr>
        <w:t xml:space="preserve">Two models were built and evaluated: a Logistic Regression baseline and a custom Gradient Boosted Machine (GBM). Both were trained on the 2017-feature / 2018-H1-label snapshot and evaluated on the 2017-H2-to-2018-H1-feature / 2018-H2-label snapshot. The two models were blended (70% GBM, 30% Logistic) for final scoring, combining the GBM's ability to capture non-linear interactions with the Logistic model's better calibration on the tails.</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4.2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Model</w:t>
            </w:r>
          </w:p>
        </w:tc>
        <w:tc>
          <w:tcPr>
            <w:tcW w:type="dxa" w:w="318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Train AUC</w:t>
            </w:r>
          </w:p>
        </w:tc>
        <w:tc>
          <w:tcPr>
            <w:tcW w:type="dxa" w:w="318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Test AUC</w:t>
            </w:r>
          </w:p>
        </w:tc>
      </w:tr>
      <w:tr>
        <w:tc>
          <w:tcPr>
            <w:tcW w:type="dxa" w:w="3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Logistic Regression</w:t>
            </w:r>
          </w:p>
        </w:tc>
        <w:tc>
          <w:tcPr>
            <w:tcW w:type="dxa" w:w="318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0.792</w:t>
            </w:r>
          </w:p>
        </w:tc>
        <w:tc>
          <w:tcPr>
            <w:tcW w:type="dxa" w:w="318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0.796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Gradient Boosted Machine (300 trees, depth 3)</w:t>
            </w:r>
          </w:p>
        </w:tc>
        <w:tc>
          <w:tcPr>
            <w:tcW w:type="dxa" w:w="31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0.831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0.821</w:t>
            </w:r>
          </w:p>
        </w:tc>
      </w:tr>
    </w:tbl>
    <w:p>
      <w:pPr>
        <w:spacing w:after="60" w:before="60"/>
      </w:pPr>
      <w:r>
        <w:rPr>
          <w:rFonts w:ascii="Arial" w:cs="Arial" w:eastAsia="Arial" w:hAnsi="Arial"/>
          <w:sz w:val="24"/>
          <w:szCs w:val="24"/>
        </w:rPr>
        <w:t xml:space="preserve"/>
      </w:r>
    </w:p>
    <w:p>
      <w:pPr>
        <w:pStyle w:val="Normal"/>
        <w:spacing w:after="100" w:before="80"/>
      </w:pPr>
      <w:r>
        <w:rPr>
          <w:rFonts w:ascii="Arial" w:cs="Arial" w:eastAsia="Arial" w:hAnsi="Arial"/>
          <w:sz w:val="24"/>
          <w:szCs w:val="24"/>
        </w:rPr>
        <w:t xml:space="preserve">An AUC of 0.82 on the held-out test set means the model correctly ranks a churner above a non-churner 82% of the time — well above random (0.50) and suitable for operational prioritisation. The close train-test AUC gap confirms the model is not over-fitted.</w:t>
      </w:r>
    </w:p>
    <w:p>
      <w:pPr>
        <w:pStyle w:val="Normal"/>
        <w:spacing w:after="100" w:before="80"/>
      </w:pPr>
      <w:r>
        <w:rPr>
          <w:rFonts w:ascii="Arial" w:cs="Arial" w:eastAsia="Arial" w:hAnsi="Arial"/>
          <w:sz w:val="24"/>
          <w:szCs w:val="24"/>
        </w:rPr>
        <w:t xml:space="preserve">At a 0.25 probability threshold, the model flags 280–350 members as high-risk, with a precision of approximately 95% — meaning 19 out of 20 members flagged are genuine at-risk cases. This high precision is valuable for a marketing team with finite intervention budget: the watch list contains very few false alarms.</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4.3  What drives churn —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c>
          <w:tcPr>
            <w:tcW w:type="dxa" w:w="4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Rank</w:t>
            </w:r>
          </w:p>
        </w:tc>
        <w:tc>
          <w:tcPr>
            <w:tcW w:type="dxa" w:w="32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Feature</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Importance</w:t>
            </w:r>
          </w:p>
        </w:tc>
        <w:tc>
          <w:tcPr>
            <w:tcW w:type="dxa" w:w="376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Business Interpretation</w:t>
            </w:r>
          </w:p>
        </w:tc>
      </w:tr>
      <w:tr>
        <w:tc>
          <w:tcPr>
            <w:tcW w:type="dxa" w:w="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1</w:t>
            </w:r>
          </w:p>
        </w:tc>
        <w:tc>
          <w:tcPr>
            <w:tcW w:type="dxa" w:w="3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Tenure (months since enrollment)</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49%</w:t>
            </w:r>
          </w:p>
        </w:tc>
        <w:tc>
          <w:tcPr>
            <w:tcW w:type="dxa" w:w="37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Short-tenure members churn at much higher rates. The first 12 months is the highest-risk window.</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Recency (months since last flight)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17%</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Members who have not flown recently are at severe risk regardless of historical activity.</w:t>
            </w:r>
          </w:p>
        </w:tc>
      </w:tr>
      <w:tr>
        <w:tc>
          <w:tcPr>
            <w:tcW w:type="dxa" w:w="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3</w:t>
            </w:r>
          </w:p>
        </w:tc>
        <w:tc>
          <w:tcPr>
            <w:tcW w:type="dxa" w:w="3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Annual salary</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9%</w:t>
            </w:r>
          </w:p>
        </w:tc>
        <w:tc>
          <w:tcPr>
            <w:tcW w:type="dxa" w:w="37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Higher-income members churn less, likely because they travel more for business.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Flights in second half of window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sz w:val="22"/>
                <w:szCs w:val="22"/>
              </w:rPr>
              <w:t xml:space="preserve">Recent activity matters more than full-year totals.</w:t>
            </w:r>
          </w:p>
        </w:tc>
      </w:tr>
      <w:tr>
        <w:tc>
          <w:tcPr>
            <w:tcW w:type="dxa" w:w="4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5</w:t>
            </w:r>
          </w:p>
        </w:tc>
        <w:tc>
          <w:tcPr>
            <w:tcW w:type="dxa" w:w="32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Flights in last 3 months</w:t>
            </w:r>
          </w:p>
        </w:tc>
        <w:tc>
          <w:tcPr>
            <w:tcW w:type="dxa" w:w="200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5%</w:t>
            </w:r>
          </w:p>
        </w:tc>
        <w:tc>
          <w:tcPr>
            <w:tcW w:type="dxa" w:w="3760"/>
            <w:tcBorders>
              <w:top w:val="single" w:color="CCCCCC" w:sz="4"/>
              <w:left w:val="single" w:color="CCCCCC" w:sz="4"/>
              <w:bottom w:val="single" w:color="CCCCCC" w:sz="4"/>
              <w:right w:val="single" w:color="CCCCCC" w:sz="4"/>
            </w:tcBorders>
            <w:shd w:fill="F7FBFD" w:val="clear"/>
            <w:tcMar>
              <w:top w:type="dxa" w:w="80"/>
              <w:left w:type="dxa" w:w="130"/>
              <w:bottom w:type="dxa" w:w="80"/>
              <w:right w:type="dxa" w:w="130"/>
            </w:tcMar>
          </w:tcPr>
          <w:p>
            <w:r>
              <w:rPr>
                <w:rFonts w:ascii="Arial" w:cs="Arial" w:eastAsia="Arial" w:hAnsi="Arial"/>
                <w:b w:val="false"/>
                <w:bCs w:val="false"/>
                <w:sz w:val="22"/>
                <w:szCs w:val="22"/>
              </w:rPr>
              <w:t xml:space="preserve">The sharpest short-term signal of impending churn.</w:t>
            </w:r>
          </w:p>
        </w:tc>
      </w:tr>
    </w:tbl>
    <w:p>
      <w:pPr>
        <w:spacing w:after="60" w:before="60"/>
      </w:pPr>
      <w:r>
        <w:rPr>
          <w:rFonts w:ascii="Arial" w:cs="Arial" w:eastAsia="Arial" w:hAnsi="Arial"/>
          <w:sz w:val="24"/>
          <w:szCs w:val="24"/>
        </w:rPr>
        <w:t xml:space="preserve"/>
      </w:r>
    </w:p>
    <w:p>
      <w:pPr>
        <w:pStyle w:val="Normal"/>
        <w:spacing w:after="100" w:before="80"/>
      </w:pPr>
      <w:r>
        <w:rPr>
          <w:rFonts w:ascii="Arial" w:cs="Arial" w:eastAsia="Arial" w:hAnsi="Arial"/>
          <w:sz w:val="24"/>
          <w:szCs w:val="24"/>
        </w:rPr>
        <w:t xml:space="preserve">A striking finding: CLV (lifetime value) was </w:t>
      </w:r>
      <w:r>
        <w:rPr>
          <w:rFonts w:ascii="Arial" w:cs="Arial" w:eastAsia="Arial" w:hAnsi="Arial"/>
          <w:b/>
          <w:bCs/>
          <w:sz w:val="24"/>
          <w:szCs w:val="24"/>
        </w:rPr>
        <w:t xml:space="preserve">deliberately excluded</w:t>
      </w:r>
      <w:r>
        <w:rPr>
          <w:rFonts w:ascii="Arial" w:cs="Arial" w:eastAsia="Arial" w:hAnsi="Arial"/>
          <w:sz w:val="24"/>
          <w:szCs w:val="24"/>
        </w:rPr>
        <w:t xml:space="preserve"> from churn features. Had it been included, it would have introduced leakage — a member who has already flown a lot necessarily has high CLV, which would make the model appear accurate but would not be available for truly new members. More importantly, CLV does not predict </w:t>
      </w:r>
      <w:r>
        <w:rPr>
          <w:rFonts w:ascii="Arial" w:cs="Arial" w:eastAsia="Arial" w:hAnsi="Arial"/>
          <w:i/>
          <w:iCs/>
          <w:sz w:val="24"/>
          <w:szCs w:val="24"/>
        </w:rPr>
        <w:t xml:space="preserve">future</w:t>
      </w:r>
      <w:r>
        <w:rPr>
          <w:rFonts w:ascii="Arial" w:cs="Arial" w:eastAsia="Arial" w:hAnsi="Arial"/>
          <w:sz w:val="24"/>
          <w:szCs w:val="24"/>
        </w:rPr>
        <w:t xml:space="preserve"> behaviour. A member with $20,000 CLV who has not flown in 11 months is high-risk; a model using CLV would incorrectly classify them as safe.</w:t>
      </w:r>
    </w:p>
    <w:p>
      <w:r>
        <w:br w:type="page"/>
      </w:r>
    </w:p>
    <w:p>
      <w:pPr>
        <w:pStyle w:val="Heading1"/>
        <w:spacing w:after="160" w:before="320"/>
      </w:pPr>
      <w:r>
        <w:rPr>
          <w:rFonts w:ascii="Arial" w:cs="Arial" w:eastAsia="Arial" w:hAnsi="Arial"/>
          <w:b/>
          <w:bCs/>
          <w:color w:val="1E3A5F"/>
          <w:sz w:val="32"/>
          <w:szCs w:val="32"/>
        </w:rPr>
        <w:t xml:space="preserve">5. Customer Segmentation &amp; Value Analysis</w:t>
      </w:r>
    </w:p>
    <w:p>
      <w:pPr>
        <w:pStyle w:val="Heading2"/>
        <w:spacing w:after="120" w:before="240"/>
      </w:pPr>
      <w:r>
        <w:rPr>
          <w:rFonts w:ascii="Arial" w:cs="Arial" w:eastAsia="Arial" w:hAnsi="Arial"/>
          <w:b/>
          <w:bCs/>
          <w:color w:val="2E5F8A"/>
          <w:sz w:val="28"/>
          <w:szCs w:val="28"/>
        </w:rPr>
        <w:t xml:space="preserve">5.1  Segmentation methodology</w:t>
      </w:r>
    </w:p>
    <w:p>
      <w:pPr>
        <w:pStyle w:val="Normal"/>
        <w:spacing w:after="100" w:before="80"/>
      </w:pPr>
      <w:r>
        <w:rPr>
          <w:rFonts w:ascii="Arial" w:cs="Arial" w:eastAsia="Arial" w:hAnsi="Arial"/>
          <w:sz w:val="24"/>
          <w:szCs w:val="24"/>
        </w:rPr>
        <w:t xml:space="preserve">We applied k-means clustering (k=5) to 11 behavioural and demographic features normalised to zero mean and unit variance. The five-cluster solution was selected after evaluating silhouette scores and interpretability. Clusters were then ranked by a composite value index (50% weight on flights, 30% on CLV, 20% inverse churn probability) and assigned names based on their dominant behavioural profile.</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5.2  Segment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200"/>
        <w:gridCol w:w="1200"/>
        <w:gridCol w:w="1400"/>
        <w:gridCol w:w="1360"/>
      </w:tblGrid>
      <w:tr>
        <w:tc>
          <w:tcPr>
            <w:tcW w:type="dxa" w:w="2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Segment</w:t>
            </w:r>
          </w:p>
        </w:tc>
        <w:tc>
          <w:tcPr>
            <w:tcW w:type="dxa" w:w="10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Members</w:t>
            </w:r>
          </w:p>
        </w:tc>
        <w:tc>
          <w:tcPr>
            <w:tcW w:type="dxa" w:w="12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Avg Flights/yr</w:t>
            </w:r>
          </w:p>
        </w:tc>
        <w:tc>
          <w:tcPr>
            <w:tcW w:type="dxa" w:w="12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Avg CLV ($)</w:t>
            </w:r>
          </w:p>
        </w:tc>
        <w:tc>
          <w:tcPr>
            <w:tcW w:type="dxa" w:w="12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Avg Tenure (mo)</w:t>
            </w:r>
          </w:p>
        </w:tc>
        <w:tc>
          <w:tcPr>
            <w:tcW w:type="dxa" w:w="140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Churn Prob</w:t>
            </w:r>
          </w:p>
        </w:tc>
        <w:tc>
          <w:tcPr>
            <w:tcW w:type="dxa" w:w="1360"/>
            <w:tcBorders>
              <w:top w:val="single" w:color="CCCCCC" w:sz="4"/>
              <w:left w:val="single" w:color="CCCCCC" w:sz="4"/>
              <w:bottom w:val="single" w:color="CCCCCC" w:sz="4"/>
              <w:right w:val="single" w:color="CCCCCC" w:sz="4"/>
            </w:tcBorders>
            <w:shd w:fill="D5E8F0" w:val="clear"/>
            <w:tcMar>
              <w:top w:type="dxa" w:w="100"/>
              <w:left w:type="dxa" w:w="130"/>
              <w:bottom w:type="dxa" w:w="100"/>
              <w:right w:type="dxa" w:w="130"/>
            </w:tcMar>
          </w:tcPr>
          <w:p>
            <w:r>
              <w:rPr>
                <w:rFonts w:ascii="Arial" w:cs="Arial" w:eastAsia="Arial" w:hAnsi="Arial"/>
                <w:b/>
                <w:bCs/>
                <w:color w:val="1E3A5F"/>
                <w:sz w:val="22"/>
                <w:szCs w:val="22"/>
              </w:rPr>
              <w:t xml:space="preserve">Future Value Score</w:t>
            </w:r>
          </w:p>
        </w:tc>
      </w:tr>
      <w:tr>
        <w:tc>
          <w:tcPr>
            <w:tcW w:type="dxa" w:w="200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Champions</w:t>
            </w:r>
          </w:p>
        </w:tc>
        <w:tc>
          <w:tcPr>
            <w:tcW w:type="dxa" w:w="100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612</w:t>
            </w:r>
          </w:p>
        </w:tc>
        <w:tc>
          <w:tcPr>
            <w:tcW w:type="dxa" w:w="120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56.0</w:t>
            </w:r>
          </w:p>
        </w:tc>
        <w:tc>
          <w:tcPr>
            <w:tcW w:type="dxa" w:w="120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7,985</w:t>
            </w:r>
          </w:p>
        </w:tc>
        <w:tc>
          <w:tcPr>
            <w:tcW w:type="dxa" w:w="120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9</w:t>
            </w:r>
          </w:p>
        </w:tc>
        <w:tc>
          <w:tcPr>
            <w:tcW w:type="dxa" w:w="140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3.7%</w:t>
            </w:r>
          </w:p>
        </w:tc>
        <w:tc>
          <w:tcPr>
            <w:tcW w:type="dxa" w:w="1360"/>
            <w:tcBorders>
              <w:top w:val="single" w:color="CCCCCC" w:sz="4"/>
              <w:left w:val="single" w:color="CCCCCC" w:sz="4"/>
              <w:bottom w:val="single" w:color="CCCCCC" w:sz="4"/>
              <w:right w:val="single" w:color="CCCCCC" w:sz="4"/>
            </w:tcBorders>
            <w:shd w:fill="EDE9FF" w:val="clear"/>
            <w:tcMar>
              <w:top w:type="dxa" w:w="80"/>
              <w:left w:type="dxa" w:w="130"/>
              <w:bottom w:type="dxa" w:w="80"/>
              <w:right w:type="dxa" w:w="130"/>
            </w:tcMar>
          </w:tcPr>
          <w:p>
            <w:r>
              <w:rPr>
                <w:rFonts w:ascii="Arial" w:cs="Arial" w:eastAsia="Arial" w:hAnsi="Arial"/>
                <w:b w:val="false"/>
                <w:bCs w:val="false"/>
                <w:sz w:val="22"/>
                <w:szCs w:val="22"/>
              </w:rPr>
              <w:t xml:space="preserve">0.778</w:t>
            </w:r>
          </w:p>
        </w:tc>
      </w:tr>
      <w:tr>
        <w:tc>
          <w:tcPr>
            <w:tcW w:type="dxa" w:w="200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Loyalists</w:t>
            </w:r>
          </w:p>
        </w:tc>
        <w:tc>
          <w:tcPr>
            <w:tcW w:type="dxa" w:w="100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5,335</w:t>
            </w:r>
          </w:p>
        </w:tc>
        <w:tc>
          <w:tcPr>
            <w:tcW w:type="dxa" w:w="120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22.9</w:t>
            </w:r>
          </w:p>
        </w:tc>
        <w:tc>
          <w:tcPr>
            <w:tcW w:type="dxa" w:w="120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8,022</w:t>
            </w:r>
          </w:p>
        </w:tc>
        <w:tc>
          <w:tcPr>
            <w:tcW w:type="dxa" w:w="120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41</w:t>
            </w:r>
          </w:p>
        </w:tc>
        <w:tc>
          <w:tcPr>
            <w:tcW w:type="dxa" w:w="140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3.5%</w:t>
            </w:r>
          </w:p>
        </w:tc>
        <w:tc>
          <w:tcPr>
            <w:tcW w:type="dxa" w:w="1360"/>
            <w:tcBorders>
              <w:top w:val="single" w:color="CCCCCC" w:sz="4"/>
              <w:left w:val="single" w:color="CCCCCC" w:sz="4"/>
              <w:bottom w:val="single" w:color="CCCCCC" w:sz="4"/>
              <w:right w:val="single" w:color="CCCCCC" w:sz="4"/>
            </w:tcBorders>
            <w:shd w:fill="E0F4FE" w:val="clear"/>
            <w:tcMar>
              <w:top w:type="dxa" w:w="80"/>
              <w:left w:type="dxa" w:w="130"/>
              <w:bottom w:type="dxa" w:w="80"/>
              <w:right w:type="dxa" w:w="130"/>
            </w:tcMar>
          </w:tcPr>
          <w:p>
            <w:r>
              <w:rPr>
                <w:rFonts w:ascii="Arial" w:cs="Arial" w:eastAsia="Arial" w:hAnsi="Arial"/>
                <w:b w:val="false"/>
                <w:bCs w:val="false"/>
                <w:sz w:val="22"/>
                <w:szCs w:val="22"/>
              </w:rPr>
              <w:t xml:space="preserve">0.511</w:t>
            </w:r>
          </w:p>
        </w:tc>
      </w:tr>
      <w:tr>
        <w:tc>
          <w:tcPr>
            <w:tcW w:type="dxa" w:w="200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Steady Flyers</w:t>
            </w:r>
          </w:p>
        </w:tc>
        <w:tc>
          <w:tcPr>
            <w:tcW w:type="dxa" w:w="100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5,465</w:t>
            </w:r>
          </w:p>
        </w:tc>
        <w:tc>
          <w:tcPr>
            <w:tcW w:type="dxa" w:w="120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16.8</w:t>
            </w:r>
          </w:p>
        </w:tc>
        <w:tc>
          <w:tcPr>
            <w:tcW w:type="dxa" w:w="120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7,928</w:t>
            </w:r>
          </w:p>
        </w:tc>
        <w:tc>
          <w:tcPr>
            <w:tcW w:type="dxa" w:w="120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51</w:t>
            </w:r>
          </w:p>
        </w:tc>
        <w:tc>
          <w:tcPr>
            <w:tcW w:type="dxa" w:w="140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3.7%</w:t>
            </w:r>
          </w:p>
        </w:tc>
        <w:tc>
          <w:tcPr>
            <w:tcW w:type="dxa" w:w="1360"/>
            <w:tcBorders>
              <w:top w:val="single" w:color="CCCCCC" w:sz="4"/>
              <w:left w:val="single" w:color="CCCCCC" w:sz="4"/>
              <w:bottom w:val="single" w:color="CCCCCC" w:sz="4"/>
              <w:right w:val="single" w:color="CCCCCC" w:sz="4"/>
            </w:tcBorders>
            <w:shd w:fill="E8FAF3" w:val="clear"/>
            <w:tcMar>
              <w:top w:type="dxa" w:w="80"/>
              <w:left w:type="dxa" w:w="130"/>
              <w:bottom w:type="dxa" w:w="80"/>
              <w:right w:type="dxa" w:w="130"/>
            </w:tcMar>
          </w:tcPr>
          <w:p>
            <w:r>
              <w:rPr>
                <w:rFonts w:ascii="Arial" w:cs="Arial" w:eastAsia="Arial" w:hAnsi="Arial"/>
                <w:b w:val="false"/>
                <w:bCs w:val="false"/>
                <w:sz w:val="22"/>
                <w:szCs w:val="22"/>
              </w:rPr>
              <w:t xml:space="preserve">0.362</w:t>
            </w:r>
          </w:p>
        </w:tc>
      </w:tr>
      <w:tr>
        <w:tc>
          <w:tcPr>
            <w:tcW w:type="dxa" w:w="200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Casual / Emerging</w:t>
            </w:r>
          </w:p>
        </w:tc>
        <w:tc>
          <w:tcPr>
            <w:tcW w:type="dxa" w:w="100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2,589</w:t>
            </w:r>
          </w:p>
        </w:tc>
        <w:tc>
          <w:tcPr>
            <w:tcW w:type="dxa" w:w="120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10.6</w:t>
            </w:r>
          </w:p>
        </w:tc>
        <w:tc>
          <w:tcPr>
            <w:tcW w:type="dxa" w:w="120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7,902</w:t>
            </w:r>
          </w:p>
        </w:tc>
        <w:tc>
          <w:tcPr>
            <w:tcW w:type="dxa" w:w="120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13</w:t>
            </w:r>
          </w:p>
        </w:tc>
        <w:tc>
          <w:tcPr>
            <w:tcW w:type="dxa" w:w="140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5.9%</w:t>
            </w:r>
          </w:p>
        </w:tc>
        <w:tc>
          <w:tcPr>
            <w:tcW w:type="dxa" w:w="1360"/>
            <w:tcBorders>
              <w:top w:val="single" w:color="CCCCCC" w:sz="4"/>
              <w:left w:val="single" w:color="CCCCCC" w:sz="4"/>
              <w:bottom w:val="single" w:color="CCCCCC" w:sz="4"/>
              <w:right w:val="single" w:color="CCCCCC" w:sz="4"/>
            </w:tcBorders>
            <w:shd w:fill="FFFBEA" w:val="clear"/>
            <w:tcMar>
              <w:top w:type="dxa" w:w="80"/>
              <w:left w:type="dxa" w:w="130"/>
              <w:bottom w:type="dxa" w:w="80"/>
              <w:right w:type="dxa" w:w="130"/>
            </w:tcMar>
          </w:tcPr>
          <w:p>
            <w:r>
              <w:rPr>
                <w:rFonts w:ascii="Arial" w:cs="Arial" w:eastAsia="Arial" w:hAnsi="Arial"/>
                <w:b w:val="false"/>
                <w:bCs w:val="false"/>
                <w:sz w:val="22"/>
                <w:szCs w:val="22"/>
              </w:rPr>
              <w:t xml:space="preserve">0.336</w:t>
            </w:r>
          </w:p>
        </w:tc>
      </w:tr>
      <w:tr>
        <w:tc>
          <w:tcPr>
            <w:tcW w:type="dxa" w:w="2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At-Risk Lapsed</w:t>
            </w:r>
          </w:p>
        </w:tc>
        <w:tc>
          <w:tcPr>
            <w:tcW w:type="dxa" w:w="10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669</w:t>
            </w:r>
          </w:p>
        </w:tc>
        <w:tc>
          <w:tcPr>
            <w:tcW w:type="dxa" w:w="12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0.03</w:t>
            </w:r>
          </w:p>
        </w:tc>
        <w:tc>
          <w:tcPr>
            <w:tcW w:type="dxa" w:w="12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8,118</w:t>
            </w:r>
          </w:p>
        </w:tc>
        <w:tc>
          <w:tcPr>
            <w:tcW w:type="dxa" w:w="12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31</w:t>
            </w:r>
          </w:p>
        </w:tc>
        <w:tc>
          <w:tcPr>
            <w:tcW w:type="dxa" w:w="140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26.5%</w:t>
            </w:r>
          </w:p>
        </w:tc>
        <w:tc>
          <w:tcPr>
            <w:tcW w:type="dxa" w:w="1360"/>
            <w:tcBorders>
              <w:top w:val="single" w:color="CCCCCC" w:sz="4"/>
              <w:left w:val="single" w:color="CCCCCC" w:sz="4"/>
              <w:bottom w:val="single" w:color="CCCCCC" w:sz="4"/>
              <w:right w:val="single" w:color="CCCCCC" w:sz="4"/>
            </w:tcBorders>
            <w:shd w:fill="FEE2E2" w:val="clear"/>
            <w:tcMar>
              <w:top w:type="dxa" w:w="80"/>
              <w:left w:type="dxa" w:w="130"/>
              <w:bottom w:type="dxa" w:w="80"/>
              <w:right w:type="dxa" w:w="130"/>
            </w:tcMar>
          </w:tcPr>
          <w:p>
            <w:r>
              <w:rPr>
                <w:rFonts w:ascii="Arial" w:cs="Arial" w:eastAsia="Arial" w:hAnsi="Arial"/>
                <w:b w:val="false"/>
                <w:bCs w:val="false"/>
                <w:sz w:val="22"/>
                <w:szCs w:val="22"/>
              </w:rPr>
              <w:t xml:space="preserve">0.168</w:t>
            </w:r>
          </w:p>
        </w:tc>
      </w:tr>
    </w:tbl>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5.3  Why CLV does not tell the full story</w:t>
      </w:r>
    </w:p>
    <w:p>
      <w:pPr>
        <w:pStyle w:val="Normal"/>
        <w:spacing w:after="100" w:before="80"/>
      </w:pPr>
      <w:r>
        <w:rPr>
          <w:rFonts w:ascii="Arial" w:cs="Arial" w:eastAsia="Arial" w:hAnsi="Arial"/>
          <w:sz w:val="24"/>
          <w:szCs w:val="24"/>
        </w:rPr>
        <w:t xml:space="preserve">The CLV figures above reveal a paradox: </w:t>
      </w:r>
      <w:r>
        <w:rPr>
          <w:rFonts w:ascii="Arial" w:cs="Arial" w:eastAsia="Arial" w:hAnsi="Arial"/>
          <w:b/>
          <w:bCs/>
          <w:sz w:val="24"/>
          <w:szCs w:val="24"/>
        </w:rPr>
        <w:t xml:space="preserve">At-Risk Lapsed members have the highest historical CLV ($8,118) of any segment</w:t>
      </w:r>
      <w:r>
        <w:rPr>
          <w:rFonts w:ascii="Arial" w:cs="Arial" w:eastAsia="Arial" w:hAnsi="Arial"/>
          <w:sz w:val="24"/>
          <w:szCs w:val="24"/>
        </w:rPr>
        <w:t xml:space="preserve">, yet the lowest future value score (0.168). This is the fundamental problem with managing a loyalty programme by CLV alone: a member who was very valuable in the past may be entirely disengaged today.</w:t>
      </w:r>
    </w:p>
    <w:p>
      <w:pPr>
        <w:pStyle w:val="Normal"/>
        <w:spacing w:after="100" w:before="80"/>
      </w:pPr>
      <w:r>
        <w:rPr>
          <w:rFonts w:ascii="Arial" w:cs="Arial" w:eastAsia="Arial" w:hAnsi="Arial"/>
          <w:sz w:val="24"/>
          <w:szCs w:val="24"/>
        </w:rPr>
        <w:t xml:space="preserve">The </w:t>
      </w:r>
      <w:r>
        <w:rPr>
          <w:rFonts w:ascii="Arial" w:cs="Arial" w:eastAsia="Arial" w:hAnsi="Arial"/>
          <w:b/>
          <w:bCs/>
          <w:sz w:val="24"/>
          <w:szCs w:val="24"/>
        </w:rPr>
        <w:t xml:space="preserve">Future Value Score (FVS)</w:t>
      </w:r>
      <w:r>
        <w:rPr>
          <w:rFonts w:ascii="Arial" w:cs="Arial" w:eastAsia="Arial" w:hAnsi="Arial"/>
          <w:sz w:val="24"/>
          <w:szCs w:val="24"/>
        </w:rPr>
        <w:t xml:space="preserve"> corrects for this. It combines current flight trajectory (adjusted for trend), expected future points accumulation (discounted by churn probability), historical CLV, and salary as a proxy for future travel budget. FVS is intentionally forward-looking: it asks not 'who has been valuable?' but 'who is likely to remain valuable?'</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5.4  The Champions paradox</w:t>
      </w:r>
    </w:p>
    <w:p>
      <w:pPr>
        <w:pStyle w:val="Normal"/>
        <w:spacing w:after="100" w:before="80"/>
      </w:pPr>
      <w:r>
        <w:rPr>
          <w:rFonts w:ascii="Arial" w:cs="Arial" w:eastAsia="Arial" w:hAnsi="Arial"/>
          <w:sz w:val="24"/>
          <w:szCs w:val="24"/>
        </w:rPr>
        <w:t xml:space="preserve">Champions have the highest flight frequency (56/year) and highest FVS (0.778) but the shortest tenure (9 months average). This pattern is consistent with either genuinely new high-value customers, or with the 2018 Promotion cohort (971 members enrolled under a promotional campaign). Across the base, 971 Promotion members are present; their behaviour requires monitoring, as promotion-driven signups can inflate short-term activity without creating durable loyalty.</w:t>
      </w:r>
    </w:p>
    <w:p>
      <w:r>
        <w:br w:type="page"/>
      </w:r>
    </w:p>
    <w:p>
      <w:pPr>
        <w:pStyle w:val="Heading1"/>
        <w:spacing w:after="160" w:before="320"/>
      </w:pPr>
      <w:r>
        <w:rPr>
          <w:rFonts w:ascii="Arial" w:cs="Arial" w:eastAsia="Arial" w:hAnsi="Arial"/>
          <w:b/>
          <w:bCs/>
          <w:color w:val="1E3A5F"/>
          <w:sz w:val="32"/>
          <w:szCs w:val="32"/>
        </w:rPr>
        <w:t xml:space="preserve">6. Retention Recommendations</w:t>
      </w:r>
    </w:p>
    <w:p>
      <w:pPr>
        <w:pStyle w:val="Normal"/>
        <w:spacing w:after="100" w:before="80"/>
      </w:pPr>
      <w:r>
        <w:rPr>
          <w:rFonts w:ascii="Arial" w:cs="Arial" w:eastAsia="Arial" w:hAnsi="Arial"/>
          <w:sz w:val="24"/>
          <w:szCs w:val="24"/>
        </w:rPr>
        <w:t xml:space="preserve">Each recommendation below specifies: the target population, the trigger condition, the offer or action, the channel, and the KPI used to measure success. Recommendations are ordered by urgency and ease of implementation.</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6.1  At-Risk Lapsed — Win-Back Sequence (Immediate)</w:t>
      </w:r>
    </w:p>
    <w:p>
      <w:pPr>
        <w:pStyle w:val="Normal"/>
        <w:spacing w:after="100" w:before="80"/>
      </w:pPr>
      <w:r>
        <w:rPr>
          <w:rFonts w:ascii="Arial" w:cs="Arial" w:eastAsia="Arial" w:hAnsi="Arial"/>
          <w:b/>
          <w:bCs/>
          <w:sz w:val="24"/>
          <w:szCs w:val="24"/>
        </w:rPr>
        <w:t xml:space="preserve">Target:</w:t>
      </w:r>
      <w:r>
        <w:rPr>
          <w:rFonts w:ascii="Arial" w:cs="Arial" w:eastAsia="Arial" w:hAnsi="Arial"/>
          <w:sz w:val="24"/>
          <w:szCs w:val="24"/>
        </w:rPr>
        <w:t xml:space="preserve"> 669 members with zero flights in the last 12 months and churn probability &gt; 10%.</w:t>
      </w:r>
    </w:p>
    <w:p>
      <w:pPr>
        <w:pStyle w:val="Normal"/>
        <w:spacing w:after="100" w:before="80"/>
      </w:pPr>
      <w:r>
        <w:rPr>
          <w:rFonts w:ascii="Arial" w:cs="Arial" w:eastAsia="Arial" w:hAnsi="Arial"/>
          <w:b/>
          <w:bCs/>
          <w:sz w:val="24"/>
          <w:szCs w:val="24"/>
        </w:rPr>
        <w:t xml:space="preserve">Trigger:</w:t>
      </w:r>
      <w:r>
        <w:rPr>
          <w:rFonts w:ascii="Arial" w:cs="Arial" w:eastAsia="Arial" w:hAnsi="Arial"/>
          <w:sz w:val="24"/>
          <w:szCs w:val="24"/>
        </w:rPr>
        <w:t xml:space="preserve"> Automatically fire when a member reaches 90 days without a flight.</w:t>
      </w:r>
    </w:p>
    <w:p>
      <w:pPr>
        <w:pStyle w:val="Normal"/>
        <w:spacing w:after="100" w:before="80"/>
      </w:pPr>
      <w:r>
        <w:rPr>
          <w:rFonts w:ascii="Arial" w:cs="Arial" w:eastAsia="Arial" w:hAnsi="Arial"/>
          <w:b/>
          <w:bCs/>
          <w:sz w:val="24"/>
          <w:szCs w:val="24"/>
        </w:rPr>
        <w:t xml:space="preserve">Action:</w:t>
      </w:r>
    </w:p>
    <w:p>
      <w:pPr>
        <w:pStyle w:val="ListParagraph"/>
        <w:numPr>
          <w:ilvl w:val="0"/>
          <w:numId w:val="2"/>
        </w:numPr>
        <w:spacing w:after="60" w:before="60"/>
      </w:pPr>
      <w:r>
        <w:rPr>
          <w:rFonts w:ascii="Arial" w:cs="Arial" w:eastAsia="Arial" w:hAnsi="Arial"/>
          <w:b/>
          <w:bCs/>
          <w:sz w:val="24"/>
          <w:szCs w:val="24"/>
        </w:rPr>
        <w:t xml:space="preserve">Week 1:</w:t>
      </w:r>
      <w:r>
        <w:rPr>
          <w:rFonts w:ascii="Arial" w:cs="Arial" w:eastAsia="Arial" w:hAnsi="Arial"/>
          <w:sz w:val="24"/>
          <w:szCs w:val="24"/>
        </w:rPr>
        <w:t xml:space="preserve"> Personalised 'We miss you' email. Subject line references their most frequent historical route. Offer: 3× bonus points on the next booking made within 30 days.</w:t>
      </w:r>
    </w:p>
    <w:p>
      <w:pPr>
        <w:pStyle w:val="ListParagraph"/>
        <w:numPr>
          <w:ilvl w:val="0"/>
          <w:numId w:val="2"/>
        </w:numPr>
        <w:spacing w:after="60" w:before="60"/>
      </w:pPr>
      <w:r>
        <w:rPr>
          <w:rFonts w:ascii="Arial" w:cs="Arial" w:eastAsia="Arial" w:hAnsi="Arial"/>
          <w:b/>
          <w:bCs/>
          <w:sz w:val="24"/>
          <w:szCs w:val="24"/>
        </w:rPr>
        <w:t xml:space="preserve">Week 3:</w:t>
      </w:r>
      <w:r>
        <w:rPr>
          <w:rFonts w:ascii="Arial" w:cs="Arial" w:eastAsia="Arial" w:hAnsi="Arial"/>
          <w:sz w:val="24"/>
          <w:szCs w:val="24"/>
        </w:rPr>
        <w:t xml:space="preserve"> If no booking, send a route-specific fare offer: e.g., 'Your YYC–YUL route from $189 + 5,000 bonus points.' Use historical booking data to identify the member's most common city pair.</w:t>
      </w:r>
    </w:p>
    <w:p>
      <w:pPr>
        <w:pStyle w:val="ListParagraph"/>
        <w:numPr>
          <w:ilvl w:val="0"/>
          <w:numId w:val="2"/>
        </w:numPr>
        <w:spacing w:after="60" w:before="60"/>
      </w:pPr>
      <w:r>
        <w:rPr>
          <w:rFonts w:ascii="Arial" w:cs="Arial" w:eastAsia="Arial" w:hAnsi="Arial"/>
          <w:b/>
          <w:bCs/>
          <w:sz w:val="24"/>
          <w:szCs w:val="24"/>
        </w:rPr>
        <w:t xml:space="preserve">Week 6:</w:t>
      </w:r>
      <w:r>
        <w:rPr>
          <w:rFonts w:ascii="Arial" w:cs="Arial" w:eastAsia="Arial" w:hAnsi="Arial"/>
          <w:sz w:val="24"/>
          <w:szCs w:val="24"/>
        </w:rPr>
        <w:t xml:space="preserve"> If still no booking, last-chance offer: points expiry warning (if applicable) + 20% off their next flight. Add SMS touchpoint if member has opted in.</w:t>
      </w:r>
    </w:p>
    <w:p>
      <w:pPr>
        <w:pStyle w:val="ListParagraph"/>
        <w:numPr>
          <w:ilvl w:val="0"/>
          <w:numId w:val="2"/>
        </w:numPr>
        <w:spacing w:after="60" w:before="60"/>
      </w:pPr>
      <w:r>
        <w:rPr>
          <w:rFonts w:ascii="Arial" w:cs="Arial" w:eastAsia="Arial" w:hAnsi="Arial"/>
          <w:b/>
          <w:bCs/>
          <w:sz w:val="24"/>
          <w:szCs w:val="24"/>
        </w:rPr>
        <w:t xml:space="preserve">No response:</w:t>
      </w:r>
      <w:r>
        <w:rPr>
          <w:rFonts w:ascii="Arial" w:cs="Arial" w:eastAsia="Arial" w:hAnsi="Arial"/>
          <w:sz w:val="24"/>
          <w:szCs w:val="24"/>
        </w:rPr>
        <w:t xml:space="preserve"> After week 6, move to dormant classification. Reduce email frequency to quarterly. Do not escalate spend on non-responsive members.</w:t>
      </w:r>
    </w:p>
    <w:p>
      <w:pPr>
        <w:pStyle w:val="Normal"/>
        <w:spacing w:after="100" w:before="80"/>
      </w:pPr>
      <w:r>
        <w:rPr>
          <w:rFonts w:ascii="Arial" w:cs="Arial" w:eastAsia="Arial" w:hAnsi="Arial"/>
          <w:b/>
          <w:bCs/>
          <w:sz w:val="24"/>
          <w:szCs w:val="24"/>
        </w:rPr>
        <w:t xml:space="preserve">KPI:</w:t>
      </w:r>
      <w:r>
        <w:rPr>
          <w:rFonts w:ascii="Arial" w:cs="Arial" w:eastAsia="Arial" w:hAnsi="Arial"/>
          <w:sz w:val="24"/>
          <w:szCs w:val="24"/>
        </w:rPr>
        <w:t xml:space="preserve"> Re-activation rate (1 flight booked within 90 days of first contact). Target: 12–18%. Cost per contact: &lt; $5. Cost per re-activated member: &lt; $45.</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6.2  Casual / Emerging — First-Year Habit Formation (Q3 Launch)</w:t>
      </w:r>
    </w:p>
    <w:p>
      <w:pPr>
        <w:pStyle w:val="Normal"/>
        <w:spacing w:after="100" w:before="80"/>
      </w:pPr>
      <w:r>
        <w:rPr>
          <w:rFonts w:ascii="Arial" w:cs="Arial" w:eastAsia="Arial" w:hAnsi="Arial"/>
          <w:b/>
          <w:bCs/>
          <w:sz w:val="24"/>
          <w:szCs w:val="24"/>
        </w:rPr>
        <w:t xml:space="preserve">Target:</w:t>
      </w:r>
      <w:r>
        <w:rPr>
          <w:rFonts w:ascii="Arial" w:cs="Arial" w:eastAsia="Arial" w:hAnsi="Arial"/>
          <w:sz w:val="24"/>
          <w:szCs w:val="24"/>
        </w:rPr>
        <w:t xml:space="preserve"> 2,589 members within their first 18 months of enrollment.</w:t>
      </w:r>
    </w:p>
    <w:p>
      <w:pPr>
        <w:pStyle w:val="Normal"/>
        <w:spacing w:after="100" w:before="80"/>
      </w:pPr>
      <w:r>
        <w:rPr>
          <w:rFonts w:ascii="Arial" w:cs="Arial" w:eastAsia="Arial" w:hAnsi="Arial"/>
          <w:b/>
          <w:bCs/>
          <w:sz w:val="24"/>
          <w:szCs w:val="24"/>
        </w:rPr>
        <w:t xml:space="preserve">Trigger:</w:t>
      </w:r>
      <w:r>
        <w:rPr>
          <w:rFonts w:ascii="Arial" w:cs="Arial" w:eastAsia="Arial" w:hAnsi="Arial"/>
          <w:sz w:val="24"/>
          <w:szCs w:val="24"/>
        </w:rPr>
        <w:t xml:space="preserve"> Member reaches months 3, 5, 8, and 12 of membership without meeting flight thresholds.</w:t>
      </w:r>
    </w:p>
    <w:p>
      <w:pPr>
        <w:pStyle w:val="Normal"/>
        <w:spacing w:after="100" w:before="80"/>
      </w:pPr>
      <w:r>
        <w:rPr>
          <w:rFonts w:ascii="Arial" w:cs="Arial" w:eastAsia="Arial" w:hAnsi="Arial"/>
          <w:b/>
          <w:bCs/>
          <w:sz w:val="24"/>
          <w:szCs w:val="24"/>
        </w:rPr>
        <w:t xml:space="preserve">Action:</w:t>
      </w:r>
    </w:p>
    <w:p>
      <w:pPr>
        <w:pStyle w:val="ListParagraph"/>
        <w:numPr>
          <w:ilvl w:val="0"/>
          <w:numId w:val="2"/>
        </w:numPr>
        <w:spacing w:after="60" w:before="60"/>
      </w:pPr>
      <w:r>
        <w:rPr>
          <w:rFonts w:ascii="Arial" w:cs="Arial" w:eastAsia="Arial" w:hAnsi="Arial"/>
          <w:b/>
          <w:bCs/>
          <w:sz w:val="24"/>
          <w:szCs w:val="24"/>
        </w:rPr>
        <w:t xml:space="preserve">Month 3:</w:t>
      </w:r>
      <w:r>
        <w:rPr>
          <w:rFonts w:ascii="Arial" w:cs="Arial" w:eastAsia="Arial" w:hAnsi="Arial"/>
          <w:sz w:val="24"/>
          <w:szCs w:val="24"/>
        </w:rPr>
        <w:t xml:space="preserve"> Onboarding summary email showing points accumulated and distance to next tier. Include a 'First Year Challenge': fly 3 more times in the next 6 months to unlock Silver-tier benefits early.</w:t>
      </w:r>
    </w:p>
    <w:p>
      <w:pPr>
        <w:pStyle w:val="ListParagraph"/>
        <w:numPr>
          <w:ilvl w:val="0"/>
          <w:numId w:val="2"/>
        </w:numPr>
        <w:spacing w:after="60" w:before="60"/>
      </w:pPr>
      <w:r>
        <w:rPr>
          <w:rFonts w:ascii="Arial" w:cs="Arial" w:eastAsia="Arial" w:hAnsi="Arial"/>
          <w:b/>
          <w:bCs/>
          <w:sz w:val="24"/>
          <w:szCs w:val="24"/>
        </w:rPr>
        <w:t xml:space="preserve">Month 5:</w:t>
      </w:r>
      <w:r>
        <w:rPr>
          <w:rFonts w:ascii="Arial" w:cs="Arial" w:eastAsia="Arial" w:hAnsi="Arial"/>
          <w:sz w:val="24"/>
          <w:szCs w:val="24"/>
        </w:rPr>
        <w:t xml:space="preserve"> Progress update on the First Year Challenge. Offer: double redemption value on first points redemption (capped at 5,000 points).</w:t>
      </w:r>
    </w:p>
    <w:p>
      <w:pPr>
        <w:pStyle w:val="ListParagraph"/>
        <w:numPr>
          <w:ilvl w:val="0"/>
          <w:numId w:val="2"/>
        </w:numPr>
        <w:spacing w:after="60" w:before="60"/>
      </w:pPr>
      <w:r>
        <w:rPr>
          <w:rFonts w:ascii="Arial" w:cs="Arial" w:eastAsia="Arial" w:hAnsi="Arial"/>
          <w:b/>
          <w:bCs/>
          <w:sz w:val="24"/>
          <w:szCs w:val="24"/>
        </w:rPr>
        <w:t xml:space="preserve">Month 8:</w:t>
      </w:r>
      <w:r>
        <w:rPr>
          <w:rFonts w:ascii="Arial" w:cs="Arial" w:eastAsia="Arial" w:hAnsi="Arial"/>
          <w:sz w:val="24"/>
          <w:szCs w:val="24"/>
        </w:rPr>
        <w:t xml:space="preserve"> If challenge not completed, bonus offer on a low-price route. If completed, congratulatory email + early Silver unlock.</w:t>
      </w:r>
    </w:p>
    <w:p>
      <w:pPr>
        <w:pStyle w:val="ListParagraph"/>
        <w:numPr>
          <w:ilvl w:val="0"/>
          <w:numId w:val="2"/>
        </w:numPr>
        <w:spacing w:after="60" w:before="60"/>
      </w:pPr>
      <w:r>
        <w:rPr>
          <w:rFonts w:ascii="Arial" w:cs="Arial" w:eastAsia="Arial" w:hAnsi="Arial"/>
          <w:b/>
          <w:bCs/>
          <w:sz w:val="24"/>
          <w:szCs w:val="24"/>
        </w:rPr>
        <w:t xml:space="preserve">Month 12:</w:t>
      </w:r>
      <w:r>
        <w:rPr>
          <w:rFonts w:ascii="Arial" w:cs="Arial" w:eastAsia="Arial" w:hAnsi="Arial"/>
          <w:sz w:val="24"/>
          <w:szCs w:val="24"/>
        </w:rPr>
        <w:t xml:space="preserve"> Anniversary message with personalised year-in-review. Milestone bonus (500 points). Soft pitch for upgrade to next card tier.</w:t>
      </w:r>
    </w:p>
    <w:p>
      <w:pPr>
        <w:pStyle w:val="Normal"/>
        <w:spacing w:after="100" w:before="80"/>
      </w:pPr>
      <w:r>
        <w:rPr>
          <w:rFonts w:ascii="Arial" w:cs="Arial" w:eastAsia="Arial" w:hAnsi="Arial"/>
          <w:b/>
          <w:bCs/>
          <w:sz w:val="24"/>
          <w:szCs w:val="24"/>
        </w:rPr>
        <w:t xml:space="preserve">KPI:</w:t>
      </w:r>
      <w:r>
        <w:rPr>
          <w:rFonts w:ascii="Arial" w:cs="Arial" w:eastAsia="Arial" w:hAnsi="Arial"/>
          <w:sz w:val="24"/>
          <w:szCs w:val="24"/>
        </w:rPr>
        <w:t xml:space="preserve"> Completion of 3 flights within first year (current benchmark unknown; programme should baseline this on first cohort). Target: lift of 8 percentage points over uncontacted control group.</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6.3  Loyalists — Redemption Amplifier (Ongoing)</w:t>
      </w:r>
    </w:p>
    <w:p>
      <w:pPr>
        <w:pStyle w:val="Normal"/>
        <w:spacing w:after="100" w:before="80"/>
      </w:pPr>
      <w:r>
        <w:rPr>
          <w:rFonts w:ascii="Arial" w:cs="Arial" w:eastAsia="Arial" w:hAnsi="Arial"/>
          <w:b/>
          <w:bCs/>
          <w:sz w:val="24"/>
          <w:szCs w:val="24"/>
        </w:rPr>
        <w:t xml:space="preserve">Target:</w:t>
      </w:r>
      <w:r>
        <w:rPr>
          <w:rFonts w:ascii="Arial" w:cs="Arial" w:eastAsia="Arial" w:hAnsi="Arial"/>
          <w:sz w:val="24"/>
          <w:szCs w:val="24"/>
        </w:rPr>
        <w:t xml:space="preserve"> 5,335 members with avg 41 months tenure and high point accumulation. These are the highest-volume segment by member count and the core of programme revenue.</w:t>
      </w:r>
    </w:p>
    <w:p>
      <w:pPr>
        <w:pStyle w:val="Normal"/>
        <w:spacing w:after="100" w:before="80"/>
      </w:pPr>
      <w:r>
        <w:rPr>
          <w:rFonts w:ascii="Arial" w:cs="Arial" w:eastAsia="Arial" w:hAnsi="Arial"/>
          <w:b/>
          <w:bCs/>
          <w:sz w:val="24"/>
          <w:szCs w:val="24"/>
        </w:rPr>
        <w:t xml:space="preserve">Action:</w:t>
      </w:r>
    </w:p>
    <w:p>
      <w:pPr>
        <w:pStyle w:val="ListParagraph"/>
        <w:numPr>
          <w:ilvl w:val="0"/>
          <w:numId w:val="2"/>
        </w:numPr>
        <w:spacing w:after="60" w:before="60"/>
      </w:pPr>
      <w:r>
        <w:rPr>
          <w:rFonts w:ascii="Arial" w:cs="Arial" w:eastAsia="Arial" w:hAnsi="Arial"/>
          <w:b/>
          <w:bCs/>
          <w:sz w:val="24"/>
          <w:szCs w:val="24"/>
        </w:rPr>
        <w:t xml:space="preserve">Quarterly redemption weekends:</w:t>
      </w:r>
      <w:r>
        <w:rPr>
          <w:rFonts w:ascii="Arial" w:cs="Arial" w:eastAsia="Arial" w:hAnsi="Arial"/>
          <w:sz w:val="24"/>
          <w:szCs w:val="24"/>
        </w:rPr>
        <w:t xml:space="preserve"> 2× points redemption value for 72-hour windows, timed to low-demand travel periods. Drives redemption velocity and reduces points liability.</w:t>
      </w:r>
    </w:p>
    <w:p>
      <w:pPr>
        <w:pStyle w:val="ListParagraph"/>
        <w:numPr>
          <w:ilvl w:val="0"/>
          <w:numId w:val="2"/>
        </w:numPr>
        <w:spacing w:after="60" w:before="60"/>
      </w:pPr>
      <w:r>
        <w:rPr>
          <w:rFonts w:ascii="Arial" w:cs="Arial" w:eastAsia="Arial" w:hAnsi="Arial"/>
          <w:b/>
          <w:bCs/>
          <w:sz w:val="24"/>
          <w:szCs w:val="24"/>
        </w:rPr>
        <w:t xml:space="preserve">Anniversary reward:</w:t>
      </w:r>
      <w:r>
        <w:rPr>
          <w:rFonts w:ascii="Arial" w:cs="Arial" w:eastAsia="Arial" w:hAnsi="Arial"/>
          <w:sz w:val="24"/>
          <w:szCs w:val="24"/>
        </w:rPr>
        <w:t xml:space="preserve"> On each membership anniversary, send a personalised 'loyalty review' summarising flights, distance, and points over the past year. Include a 500-point thank-you bonus. This costs approximately $0.75 per member per year and consistently outperforms generic retention offers in A/B tests across comparable programmes.</w:t>
      </w:r>
    </w:p>
    <w:p>
      <w:pPr>
        <w:pStyle w:val="ListParagraph"/>
        <w:numPr>
          <w:ilvl w:val="0"/>
          <w:numId w:val="2"/>
        </w:numPr>
        <w:spacing w:after="60" w:before="60"/>
      </w:pPr>
      <w:r>
        <w:rPr>
          <w:rFonts w:ascii="Arial" w:cs="Arial" w:eastAsia="Arial" w:hAnsi="Arial"/>
          <w:b/>
          <w:bCs/>
          <w:sz w:val="24"/>
          <w:szCs w:val="24"/>
        </w:rPr>
        <w:t xml:space="preserve">Lounge trial:</w:t>
      </w:r>
      <w:r>
        <w:rPr>
          <w:rFonts w:ascii="Arial" w:cs="Arial" w:eastAsia="Arial" w:hAnsi="Arial"/>
          <w:sz w:val="24"/>
          <w:szCs w:val="24"/>
        </w:rPr>
        <w:t xml:space="preserve"> Invite the top 20% of Loyalists (by FVS) to a 30-day lounge access trial. Converts at higher rates when offered as an earned reward rather than a paid upgrade.</w:t>
      </w:r>
    </w:p>
    <w:p>
      <w:pPr>
        <w:pStyle w:val="Normal"/>
        <w:spacing w:after="100" w:before="80"/>
      </w:pPr>
      <w:r>
        <w:rPr>
          <w:rFonts w:ascii="Arial" w:cs="Arial" w:eastAsia="Arial" w:hAnsi="Arial"/>
          <w:b/>
          <w:bCs/>
          <w:sz w:val="24"/>
          <w:szCs w:val="24"/>
        </w:rPr>
        <w:t xml:space="preserve">KPI:</w:t>
      </w:r>
      <w:r>
        <w:rPr>
          <w:rFonts w:ascii="Arial" w:cs="Arial" w:eastAsia="Arial" w:hAnsi="Arial"/>
          <w:sz w:val="24"/>
          <w:szCs w:val="24"/>
        </w:rPr>
        <w:t xml:space="preserve"> Quarterly flight frequency (maintain or increase vs. prior quarter). Annual points redemption rate.</w:t>
      </w:r>
    </w:p>
    <w:p>
      <w:pPr>
        <w:spacing w:after="60" w:before="60"/>
      </w:pPr>
      <w:r>
        <w:rPr>
          <w:rFonts w:ascii="Arial" w:cs="Arial" w:eastAsia="Arial" w:hAnsi="Arial"/>
          <w:sz w:val="24"/>
          <w:szCs w:val="24"/>
        </w:rPr>
        <w:t xml:space="preserve"/>
      </w:r>
    </w:p>
    <w:p>
      <w:pPr>
        <w:pStyle w:val="Heading2"/>
        <w:spacing w:after="120" w:before="240"/>
      </w:pPr>
      <w:r>
        <w:rPr>
          <w:rFonts w:ascii="Arial" w:cs="Arial" w:eastAsia="Arial" w:hAnsi="Arial"/>
          <w:b/>
          <w:bCs/>
          <w:color w:val="2E5F8A"/>
          <w:sz w:val="28"/>
          <w:szCs w:val="28"/>
        </w:rPr>
        <w:t xml:space="preserve">6.4  Champions — Accelerated Tier Upgrade (Ongoing)</w:t>
      </w:r>
    </w:p>
    <w:p>
      <w:pPr>
        <w:pStyle w:val="Normal"/>
        <w:spacing w:after="100" w:before="80"/>
      </w:pPr>
      <w:r>
        <w:rPr>
          <w:rFonts w:ascii="Arial" w:cs="Arial" w:eastAsia="Arial" w:hAnsi="Arial"/>
          <w:b/>
          <w:bCs/>
          <w:sz w:val="24"/>
          <w:szCs w:val="24"/>
        </w:rPr>
        <w:t xml:space="preserve">Target:</w:t>
      </w:r>
      <w:r>
        <w:rPr>
          <w:rFonts w:ascii="Arial" w:cs="Arial" w:eastAsia="Arial" w:hAnsi="Arial"/>
          <w:sz w:val="24"/>
          <w:szCs w:val="24"/>
        </w:rPr>
        <w:t xml:space="preserve"> 612 members with avg 56 flights/year and 9-month tenure.</w:t>
      </w:r>
    </w:p>
    <w:p>
      <w:pPr>
        <w:pStyle w:val="Normal"/>
        <w:spacing w:after="100" w:before="80"/>
      </w:pPr>
      <w:r>
        <w:rPr>
          <w:rFonts w:ascii="Arial" w:cs="Arial" w:eastAsia="Arial" w:hAnsi="Arial"/>
          <w:b/>
          <w:bCs/>
          <w:sz w:val="24"/>
          <w:szCs w:val="24"/>
        </w:rPr>
        <w:t xml:space="preserve">Action:</w:t>
      </w:r>
      <w:r>
        <w:rPr>
          <w:rFonts w:ascii="Arial" w:cs="Arial" w:eastAsia="Arial" w:hAnsi="Arial"/>
          <w:sz w:val="24"/>
          <w:szCs w:val="24"/>
        </w:rPr>
        <w:t xml:space="preserve"> Fast-track Aurora status for any Champion not already holding it. Offer a milestone challenge: fly 10 additional times within 90 days for an automatic Aurora upgrade plus 50,000 bonus points. Assign a dedicated loyalty concierge contact for top 50 members by FVS. The investment is modest (a concierge handles 50 accounts); the risk of losing a 56-flight-per-year member to a competitor's comparable programme is significant.</w:t>
      </w:r>
    </w:p>
    <w:p>
      <w:pPr>
        <w:pStyle w:val="Normal"/>
        <w:spacing w:after="100" w:before="80"/>
      </w:pPr>
      <w:r>
        <w:rPr>
          <w:rFonts w:ascii="Arial" w:cs="Arial" w:eastAsia="Arial" w:hAnsi="Arial"/>
          <w:b/>
          <w:bCs/>
          <w:sz w:val="24"/>
          <w:szCs w:val="24"/>
        </w:rPr>
        <w:t xml:space="preserve">KPI:</w:t>
      </w:r>
      <w:r>
        <w:rPr>
          <w:rFonts w:ascii="Arial" w:cs="Arial" w:eastAsia="Arial" w:hAnsi="Arial"/>
          <w:sz w:val="24"/>
          <w:szCs w:val="24"/>
        </w:rPr>
        <w:t xml:space="preserve"> Aurora conversion rate. 90-day retention rate.</w:t>
      </w:r>
    </w:p>
    <w:p>
      <w:r>
        <w:br w:type="page"/>
      </w:r>
    </w:p>
    <w:p>
      <w:pPr>
        <w:pStyle w:val="Heading1"/>
        <w:spacing w:after="160" w:before="320"/>
      </w:pPr>
      <w:r>
        <w:rPr>
          <w:rFonts w:ascii="Arial" w:cs="Arial" w:eastAsia="Arial" w:hAnsi="Arial"/>
          <w:b/>
          <w:bCs/>
          <w:color w:val="1E3A5F"/>
          <w:sz w:val="32"/>
          <w:szCs w:val="32"/>
        </w:rPr>
        <w:t xml:space="preserve">7. Conclusions &amp; Forward Look</w:t>
      </w:r>
    </w:p>
    <w:p>
      <w:pPr>
        <w:pStyle w:val="Normal"/>
        <w:spacing w:after="100" w:before="80"/>
      </w:pPr>
      <w:r>
        <w:rPr>
          <w:rFonts w:ascii="Arial" w:cs="Arial" w:eastAsia="Arial" w:hAnsi="Arial"/>
          <w:sz w:val="24"/>
          <w:szCs w:val="24"/>
        </w:rPr>
        <w:t xml:space="preserve">This work demonstrates that a well-designed behavioural model and segmentation framework can convert raw loyalty data into specific, scheduled, costed marketing actions. The key methodological choices — defining churn behaviourally rather than only by cancellation, enforcing strict temporal leakage controls, building forward-looking value scores rather than relying on CLV — each address a specific gap in how the programme is currently managed.</w:t>
      </w:r>
    </w:p>
    <w:p>
      <w:pPr>
        <w:spacing w:after="60" w:before="60"/>
      </w:pPr>
      <w:r>
        <w:rPr>
          <w:rFonts w:ascii="Arial" w:cs="Arial" w:eastAsia="Arial" w:hAnsi="Arial"/>
          <w:sz w:val="24"/>
          <w:szCs w:val="24"/>
        </w:rPr>
        <w:t xml:space="preserve"/>
      </w:r>
    </w:p>
    <w:p>
      <w:pPr>
        <w:pStyle w:val="Normal"/>
        <w:spacing w:after="100" w:before="80"/>
      </w:pPr>
      <w:r>
        <w:rPr>
          <w:rFonts w:ascii="Arial" w:cs="Arial" w:eastAsia="Arial" w:hAnsi="Arial"/>
          <w:sz w:val="24"/>
          <w:szCs w:val="24"/>
        </w:rPr>
        <w:t xml:space="preserve">Three improvements would strengthen this framework in future iterations:</w:t>
      </w:r>
    </w:p>
    <w:p>
      <w:pPr>
        <w:pStyle w:val="ListParagraph"/>
        <w:numPr>
          <w:ilvl w:val="0"/>
          <w:numId w:val="2"/>
        </w:numPr>
        <w:spacing w:after="60" w:before="60"/>
      </w:pPr>
      <w:r>
        <w:rPr>
          <w:rFonts w:ascii="Arial" w:cs="Arial" w:eastAsia="Arial" w:hAnsi="Arial"/>
          <w:b/>
          <w:bCs/>
          <w:sz w:val="24"/>
          <w:szCs w:val="24"/>
        </w:rPr>
        <w:t xml:space="preserve">Route-level data.</w:t>
      </w:r>
      <w:r>
        <w:rPr>
          <w:rFonts w:ascii="Arial" w:cs="Arial" w:eastAsia="Arial" w:hAnsi="Arial"/>
          <w:sz w:val="24"/>
          <w:szCs w:val="24"/>
        </w:rPr>
        <w:t xml:space="preserve"> The current model has no information on which routes members fly. Adding origin-destination pairs would allow route-specific offers and identify members at risk due to competitive route entry by other carriers.</w:t>
      </w:r>
    </w:p>
    <w:p>
      <w:pPr>
        <w:pStyle w:val="ListParagraph"/>
        <w:numPr>
          <w:ilvl w:val="0"/>
          <w:numId w:val="2"/>
        </w:numPr>
        <w:spacing w:after="60" w:before="60"/>
      </w:pPr>
      <w:r>
        <w:rPr>
          <w:rFonts w:ascii="Arial" w:cs="Arial" w:eastAsia="Arial" w:hAnsi="Arial"/>
          <w:b/>
          <w:bCs/>
          <w:sz w:val="24"/>
          <w:szCs w:val="24"/>
        </w:rPr>
        <w:t xml:space="preserve">Real-time scoring.</w:t>
      </w:r>
      <w:r>
        <w:rPr>
          <w:rFonts w:ascii="Arial" w:cs="Arial" w:eastAsia="Arial" w:hAnsi="Arial"/>
          <w:sz w:val="24"/>
          <w:szCs w:val="24"/>
        </w:rPr>
        <w:t xml:space="preserve"> The current model is batch-scored monthly. A streaming implementation scoring members daily (triggered by a missed expected flight or a lapse in points accumulation) would allow the win-back sequence to fire days earlier, before disengagement solidifies.</w:t>
      </w:r>
    </w:p>
    <w:p>
      <w:pPr>
        <w:pStyle w:val="ListParagraph"/>
        <w:numPr>
          <w:ilvl w:val="0"/>
          <w:numId w:val="2"/>
        </w:numPr>
        <w:spacing w:after="60" w:before="60"/>
      </w:pPr>
      <w:r>
        <w:rPr>
          <w:rFonts w:ascii="Arial" w:cs="Arial" w:eastAsia="Arial" w:hAnsi="Arial"/>
          <w:b/>
          <w:bCs/>
          <w:sz w:val="24"/>
          <w:szCs w:val="24"/>
        </w:rPr>
        <w:t xml:space="preserve">A/B test infrastructure.</w:t>
      </w:r>
      <w:r>
        <w:rPr>
          <w:rFonts w:ascii="Arial" w:cs="Arial" w:eastAsia="Arial" w:hAnsi="Arial"/>
          <w:sz w:val="24"/>
          <w:szCs w:val="24"/>
        </w:rPr>
        <w:t xml:space="preserve"> None of the retention recommendations can be formally validated without a holdout group. Building an experimentation infrastructure — even a simple 10% holdout on each intervention — would allow the programme to move from assumption-based to evidence-based retention spending within two campaign cycles.</w:t>
      </w:r>
    </w:p>
    <w:p>
      <w:pPr>
        <w:spacing w:after="60" w:before="60"/>
      </w:pPr>
      <w:r>
        <w:rPr>
          <w:rFonts w:ascii="Arial" w:cs="Arial" w:eastAsia="Arial" w:hAnsi="Arial"/>
          <w:sz w:val="24"/>
          <w:szCs w:val="24"/>
        </w:rPr>
        <w:t xml:space="preserve"/>
      </w:r>
    </w:p>
    <w:p>
      <w:pPr>
        <w:pBdr>
          <w:bottom w:val="single" w:color="2E5F8A" w:sz="6" w:space="1"/>
        </w:pBdr>
        <w:spacing w:after="120" w:before="12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40" w:before="60"/>
        <w:jc w:val="center"/>
      </w:pPr>
      <w:r>
        <w:rPr>
          <w:rFonts w:ascii="Arial" w:cs="Arial" w:eastAsia="Arial" w:hAnsi="Arial"/>
          <w:color w:val="777777"/>
          <w:sz w:val="20"/>
          <w:szCs w:val="20"/>
        </w:rPr>
        <w:t xml:space="preserve">Model &amp; Analysis: Business Analytics Team</w:t>
      </w:r>
    </w:p>
    <w:p>
      <w:pPr>
        <w:spacing w:after="40" w:before="0"/>
        <w:jc w:val="center"/>
      </w:pPr>
      <w:r>
        <w:rPr>
          <w:rFonts w:ascii="Arial" w:cs="Arial" w:eastAsia="Arial" w:hAnsi="Arial"/>
          <w:color w:val="777777"/>
          <w:sz w:val="20"/>
          <w:szCs w:val="20"/>
        </w:rPr>
        <w:t xml:space="preserve">Data: Canadian Loyalty Program 2012–2018 · 16,737 members</w:t>
      </w:r>
    </w:p>
    <w:p>
      <w:pPr>
        <w:spacing w:after="40" w:before="0"/>
        <w:jc w:val="center"/>
      </w:pPr>
      <w:r>
        <w:rPr>
          <w:rFonts w:ascii="Arial" w:cs="Arial" w:eastAsia="Arial" w:hAnsi="Arial"/>
          <w:color w:val="777777"/>
          <w:sz w:val="20"/>
          <w:szCs w:val="20"/>
        </w:rPr>
        <w:t xml:space="preserve">Model AUC 0.82 (test) · 5-segment k-means · GBM + Logistic blend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after="0" w:before="12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Confidential — Business Analytics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spacing w:after="120" w:before="0"/>
      <w:jc w:val="right"/>
    </w:pPr>
    <w:r>
      <w:rPr>
        <w:rFonts w:ascii="Arial" w:cs="Arial" w:eastAsia="Arial" w:hAnsi="Arial"/>
        <w:color w:val="777777"/>
        <w:sz w:val="18"/>
        <w:szCs w:val="18"/>
      </w:rPr>
      <w:t xml:space="preserve">Airline Loyalty — Churn &amp; Retention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2026-06-13T04:49:38.449Z</dcterms:created>
  <dcterms:modified xsi:type="dcterms:W3CDTF">2026-06-13T04:49:38.450Z</dcterms:modified>
</cp:coreProperties>
</file>

<file path=docProps/custom.xml><?xml version="1.0" encoding="utf-8"?>
<Properties xmlns="http://schemas.openxmlformats.org/officeDocument/2006/custom-properties" xmlns:vt="http://schemas.openxmlformats.org/officeDocument/2006/docPropsVTypes"/>
</file>