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after="0"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Project Design Phase-II</w:t>
      </w:r>
      <w:r>
        <w:rPr>
          <w:b/>
          <w:sz w:val="24"/>
          <w:szCs w:val="24"/>
        </w:rPr>
      </w:r>
    </w:p>
    <w:p w14:paraId="00000002">
      <w:pPr>
        <w:pBdr/>
        <w:spacing w:after="0"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Solution Requirements (Functional &amp; Non-functional)</w:t>
      </w:r>
      <w:r>
        <w:rPr>
          <w:b/>
          <w:sz w:val="24"/>
          <w:szCs w:val="24"/>
        </w:rPr>
      </w:r>
    </w:p>
    <w:p w14:paraId="00000003">
      <w:pPr>
        <w:pBdr/>
        <w:spacing w:after="0"/>
        <w:ind/>
        <w:jc w:val="center"/>
        <w:rPr>
          <w:b/>
        </w:rPr>
      </w:pPr>
      <w:r>
        <w:rPr>
          <w:rtl w:val="0"/>
        </w:rPr>
      </w:r>
      <w:r>
        <w:rPr>
          <w:b/>
        </w:rPr>
      </w:r>
    </w:p>
    <w:tbl>
      <w:tblPr>
        <w:tblStyle w:val="682"/>
        <w:tblW w:w="93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false"/>
        </w:trPr>
        <w:tc>
          <w:tcPr>
            <w:tcBorders/>
          </w:tcPr>
          <w:p w14:paraId="0000000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Date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01 October 2026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0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Team ID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 xml:space="preserve">SWTID-2026-2527</w:t>
            </w:r>
            <w:r>
              <w:rPr>
                <w:rFonts w:ascii="Arial" w:hAnsi="Arial"/>
                <w:b w:val="0"/>
                <w:sz w:val="17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0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Project Name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Script-Controlled ACL – Restrict Record Access Based on Field Value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0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Maximum Marks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4 Marks</w:t>
            </w:r>
            <w:r/>
          </w:p>
        </w:tc>
      </w:tr>
    </w:tbl>
    <w:p w14:paraId="0000000C">
      <w:pPr>
        <w:pBdr/>
        <w:spacing/>
        <w:ind/>
        <w:rPr>
          <w:b/>
        </w:rPr>
      </w:pPr>
      <w:r>
        <w:rPr>
          <w:rtl w:val="0"/>
        </w:rPr>
      </w:r>
      <w:r>
        <w:rPr>
          <w:b/>
        </w:rPr>
      </w:r>
    </w:p>
    <w:p w14:paraId="0000000D">
      <w:pPr>
        <w:pBdr/>
        <w:spacing/>
        <w:ind/>
        <w:rPr>
          <w:b/>
        </w:rPr>
      </w:pPr>
      <w:r>
        <w:rPr>
          <w:b/>
          <w:rtl w:val="0"/>
        </w:rPr>
        <w:t xml:space="preserve">Functional Requirements:</w:t>
      </w:r>
      <w:r>
        <w:rPr>
          <w:b/>
        </w:rPr>
      </w:r>
    </w:p>
    <w:p w14:paraId="0000000E">
      <w:pPr>
        <w:pBdr/>
        <w:spacing/>
        <w:ind/>
        <w:rPr/>
      </w:pPr>
      <w:r>
        <w:t xml:space="preserve">The functional requirements below define the ServiceNow ACL solution for u_institution_details.</w:t>
      </w:r>
      <w:r/>
    </w:p>
    <w:tbl>
      <w:tblPr>
        <w:tblStyle w:val="683"/>
        <w:tblW w:w="93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  <w:tblGridChange w:id="1">
          <w:tblGrid>
            <w:gridCol w:w="926"/>
            <w:gridCol w:w="3150"/>
            <w:gridCol w:w="5248"/>
          </w:tblGrid>
        </w:tblGridChange>
      </w:tblGrid>
      <w:tr>
        <w:trPr>
          <w:cantSplit w:val="false"/>
          <w:trHeight w:val="333"/>
        </w:trPr>
        <w:tc>
          <w:tcPr>
            <w:tcBorders/>
          </w:tcPr>
          <w:p w14:paraId="0000000F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FR No.</w:t>
            </w:r>
            <w:r>
              <w:rPr>
                <w:b/>
              </w:rPr>
            </w:r>
          </w:p>
        </w:tc>
        <w:tc>
          <w:tcPr>
            <w:tcBorders/>
          </w:tcPr>
          <w:p w14:paraId="00000010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Functional Requirement (Epic)</w:t>
            </w:r>
            <w:r>
              <w:rPr>
                <w:b/>
              </w:rPr>
            </w:r>
          </w:p>
        </w:tc>
        <w:tc>
          <w:tcPr>
            <w:tcBorders/>
          </w:tcPr>
          <w:p w14:paraId="00000011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Sub Requirement (Story / Sub-Task)</w:t>
            </w:r>
            <w:r>
              <w:rPr>
                <w:b/>
              </w:rPr>
            </w:r>
          </w:p>
        </w:tc>
      </w:tr>
      <w:tr>
        <w:trPr>
          <w:cantSplit w:val="false"/>
          <w:trHeight w:val="48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FR-1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User and Role Setup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Create EEE User and roles bb1, bb2, bb3 and bb4; assign roles to the test user.</w:t>
            </w:r>
            <w:r/>
          </w:p>
        </w:tc>
      </w:tr>
      <w:tr>
        <w:trPr>
          <w:cantSplit w:val="false"/>
          <w:trHeight w:val="48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FR-2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Institution Details Table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Create u_institution_details with Student Roll Number, Student Name, Faculty Name, Branch, Email, Phone Number and Description.</w:t>
            </w:r>
            <w:r/>
          </w:p>
        </w:tc>
      </w:tr>
      <w:tr>
        <w:trPr>
          <w:cantSplit w:val="false"/>
          <w:trHeight w:val="470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FR-3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Read Access Control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Allow administrators full access; allow bb1 users to read records where Branch is EEE; deny others.</w:t>
            </w:r>
            <w:r/>
          </w:p>
        </w:tc>
      </w:tr>
      <w:tr>
        <w:trPr>
          <w:cantSplit w:val="false"/>
          <w:trHeight w:val="48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FR-4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Create Access Control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Allow creation of records only when the create ACL requirement bb2 is satisfied.</w:t>
            </w:r>
            <w:r/>
          </w:p>
        </w:tc>
      </w:tr>
      <w:tr>
        <w:trPr>
          <w:cantSplit w:val="false"/>
          <w:trHeight w:val="48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FR-5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Write Access Control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Allow editing only when the write ACL requirement bb3 is satisfied.</w:t>
            </w:r>
            <w:r/>
          </w:p>
        </w:tc>
      </w:tr>
      <w:tr>
        <w:trPr>
          <w:cantSplit w:val="false"/>
          <w:trHeight w:val="48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FR-6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Delete Access Control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Allow deletion only when the delete ACL requirement bb4 is satisfied.</w:t>
            </w:r>
            <w:r/>
          </w:p>
        </w:tc>
      </w:tr>
      <w:tr>
        <w:trPr/>
        <w:tc>
          <w:tcPr>
            <w:tcBorders/>
            <w:tcW w:w="9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FR-7</w:t>
            </w:r>
            <w:r/>
          </w:p>
        </w:tc>
        <w:tc>
          <w:tcPr>
            <w:tcBorders/>
            <w:tcW w:w="315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Verification</w:t>
            </w:r>
            <w:r/>
          </w:p>
        </w:tc>
        <w:tc>
          <w:tcPr>
            <w:tcBorders/>
            <w:tcW w:w="5248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Support impersonation and verification of list visibility and permitted actions for EEE User, unauthorized users and Admin.</w:t>
            </w:r>
            <w:r/>
          </w:p>
        </w:tc>
      </w:tr>
    </w:tbl>
    <w:p w14:paraId="00000027">
      <w:pPr>
        <w:pBdr/>
        <w:spacing/>
        <w:ind/>
        <w:rPr/>
      </w:pPr>
      <w:r>
        <w:rPr>
          <w:rtl w:val="0"/>
        </w:rPr>
      </w:r>
      <w:r/>
    </w:p>
    <w:p w14:paraId="00000028">
      <w:pPr>
        <w:pBdr/>
        <w:spacing/>
        <w:ind/>
        <w:rPr>
          <w:b/>
        </w:rPr>
      </w:pPr>
      <w:r>
        <w:rPr>
          <w:rtl w:val="0"/>
        </w:rPr>
      </w:r>
      <w:r>
        <w:rPr>
          <w:b/>
        </w:rPr>
      </w:r>
    </w:p>
    <w:p w14:paraId="00000029">
      <w:pPr>
        <w:pBdr/>
        <w:spacing/>
        <w:ind/>
        <w:rPr>
          <w:b/>
        </w:rPr>
      </w:pPr>
      <w:r>
        <w:rPr>
          <w:rtl w:val="0"/>
        </w:rPr>
      </w:r>
      <w:r>
        <w:rPr>
          <w:b/>
        </w:rPr>
      </w:r>
    </w:p>
    <w:p w14:paraId="0000002A">
      <w:pPr>
        <w:pBdr/>
        <w:spacing/>
        <w:ind/>
        <w:rPr>
          <w:b/>
        </w:rPr>
      </w:pPr>
      <w:r>
        <w:rPr>
          <w:b/>
          <w:rtl w:val="0"/>
        </w:rPr>
        <w:t xml:space="preserve">Non-functional Requirements:</w:t>
      </w:r>
      <w:r>
        <w:rPr>
          <w:b/>
        </w:rPr>
      </w:r>
    </w:p>
    <w:p w14:paraId="0000002B">
      <w:pPr>
        <w:pBdr/>
        <w:spacing/>
        <w:ind/>
        <w:rPr/>
      </w:pPr>
      <w:r>
        <w:t xml:space="preserve">The non-functional requirements below describe the security, consistency and maintainability expectations of the ACL configuration.</w:t>
      </w:r>
      <w:r/>
    </w:p>
    <w:tbl>
      <w:tblPr>
        <w:tblStyle w:val="684"/>
        <w:tblW w:w="93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  <w:tblGridChange w:id="2">
          <w:tblGrid>
            <w:gridCol w:w="926"/>
            <w:gridCol w:w="3464"/>
            <w:gridCol w:w="4934"/>
          </w:tblGrid>
        </w:tblGridChange>
      </w:tblGrid>
      <w:tr>
        <w:trPr>
          <w:cantSplit w:val="false"/>
          <w:trHeight w:val="333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sz w:val="17"/>
              </w:rPr>
              <w:t xml:space="preserve">NFR No.</w:t>
            </w:r>
            <w:r/>
          </w:p>
        </w:tc>
        <w:tc>
          <w:tcPr>
            <w:tcBorders/>
          </w:tcPr>
          <w:p w14:paraId="0000002D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Non-Functional Requirement</w:t>
            </w:r>
            <w:r>
              <w:rPr>
                <w:b/>
              </w:rPr>
            </w:r>
          </w:p>
        </w:tc>
        <w:tc>
          <w:tcPr>
            <w:tcBorders/>
          </w:tcPr>
          <w:p w14:paraId="0000002E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Description</w:t>
            </w:r>
            <w:r>
              <w:rPr>
                <w:b/>
              </w:rPr>
            </w:r>
          </w:p>
        </w:tc>
      </w:tr>
      <w:tr>
        <w:trPr>
          <w:cantSplit w:val="false"/>
          <w:trHeight w:val="48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NFR-1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Usability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The access behavior should be understandable through the ServiceNow list and form experience.</w:t>
            </w:r>
            <w:r/>
          </w:p>
        </w:tc>
      </w:tr>
      <w:tr>
        <w:trPr>
          <w:cantSplit w:val="false"/>
          <w:trHeight w:val="48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NFR-2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Security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Enforce record-level access using roles, operation-specific ACLs, the Branch condition and the administrator bypass.</w:t>
            </w:r>
            <w:r/>
          </w:p>
        </w:tc>
      </w:tr>
      <w:tr>
        <w:trPr>
          <w:cantSplit w:val="false"/>
          <w:trHeight w:val="470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NFR-3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Reliability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The same role and condition rules should be applied consistently whenever records are accessed.</w:t>
            </w:r>
            <w:r/>
          </w:p>
        </w:tc>
      </w:tr>
      <w:tr>
        <w:trPr>
          <w:cantSplit w:val="false"/>
          <w:trHeight w:val="48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NFR-4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Maintainability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Keep permissions separated by operation and use named roles so the configuration can be tested and updated.</w:t>
            </w:r>
            <w:r/>
          </w:p>
        </w:tc>
      </w:tr>
      <w:tr>
        <w:trPr>
          <w:cantSplit w:val="false"/>
          <w:trHeight w:val="48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NFR-5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Availability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The lab depends on the availability of the ServiceNow instance; no separate availability infrastructure is specified.</w:t>
            </w:r>
            <w:r/>
          </w:p>
        </w:tc>
      </w:tr>
      <w:tr>
        <w:trPr>
          <w:cantSplit w:val="false"/>
          <w:trHeight w:val="489"/>
        </w:trPr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NFR-6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Scalability</w:t>
            </w:r>
            <w:r/>
          </w:p>
        </w:tc>
        <w:tc>
          <w:tcPr>
            <w:tcBorders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sz w:val="17"/>
              </w:rPr>
              <w:t xml:space="preserve">The project is a platform ACL configuration; independent scaling targets are not defined.</w:t>
            </w:r>
            <w:r/>
          </w:p>
        </w:tc>
      </w:tr>
    </w:tbl>
    <w:p w14:paraId="00000041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6838" w:orient="portrait" w:w="11906"/>
      <w:pgMar w:top="851" w:right="1440" w:bottom="1440" w:left="1440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-IN" w:eastAsia="zh-C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3"/>
    <w:next w:val="67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3"/>
    <w:next w:val="67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3"/>
    <w:next w:val="67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66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67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4"/>
    <w:link w:val="68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3"/>
    <w:next w:val="67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3"/>
    <w:next w:val="67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7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73"/>
    <w:next w:val="6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3"/>
    <w:next w:val="673"/>
    <w:uiPriority w:val="39"/>
    <w:unhideWhenUsed/>
    <w:pPr>
      <w:pBdr/>
      <w:spacing w:after="100"/>
      <w:ind/>
    </w:pPr>
  </w:style>
  <w:style w:type="paragraph" w:styleId="190">
    <w:name w:val="toc 2"/>
    <w:basedOn w:val="673"/>
    <w:next w:val="673"/>
    <w:uiPriority w:val="39"/>
    <w:unhideWhenUsed/>
    <w:pPr>
      <w:pBdr/>
      <w:spacing w:after="100"/>
      <w:ind w:left="220"/>
    </w:pPr>
  </w:style>
  <w:style w:type="paragraph" w:styleId="191">
    <w:name w:val="toc 3"/>
    <w:basedOn w:val="673"/>
    <w:next w:val="673"/>
    <w:uiPriority w:val="39"/>
    <w:unhideWhenUsed/>
    <w:pPr>
      <w:pBdr/>
      <w:spacing w:after="100"/>
      <w:ind w:left="440"/>
    </w:pPr>
  </w:style>
  <w:style w:type="paragraph" w:styleId="192">
    <w:name w:val="toc 4"/>
    <w:basedOn w:val="673"/>
    <w:next w:val="673"/>
    <w:uiPriority w:val="39"/>
    <w:unhideWhenUsed/>
    <w:pPr>
      <w:pBdr/>
      <w:spacing w:after="100"/>
      <w:ind w:left="660"/>
    </w:pPr>
  </w:style>
  <w:style w:type="paragraph" w:styleId="193">
    <w:name w:val="toc 5"/>
    <w:basedOn w:val="673"/>
    <w:next w:val="673"/>
    <w:uiPriority w:val="39"/>
    <w:unhideWhenUsed/>
    <w:pPr>
      <w:pBdr/>
      <w:spacing w:after="100"/>
      <w:ind w:left="880"/>
    </w:pPr>
  </w:style>
  <w:style w:type="paragraph" w:styleId="194">
    <w:name w:val="toc 6"/>
    <w:basedOn w:val="673"/>
    <w:next w:val="673"/>
    <w:uiPriority w:val="39"/>
    <w:unhideWhenUsed/>
    <w:pPr>
      <w:pBdr/>
      <w:spacing w:after="100"/>
      <w:ind w:left="1100"/>
    </w:pPr>
  </w:style>
  <w:style w:type="paragraph" w:styleId="195">
    <w:name w:val="toc 7"/>
    <w:basedOn w:val="673"/>
    <w:next w:val="673"/>
    <w:uiPriority w:val="39"/>
    <w:unhideWhenUsed/>
    <w:pPr>
      <w:pBdr/>
      <w:spacing w:after="100"/>
      <w:ind w:left="1320"/>
    </w:pPr>
  </w:style>
  <w:style w:type="paragraph" w:styleId="196">
    <w:name w:val="toc 8"/>
    <w:basedOn w:val="673"/>
    <w:next w:val="673"/>
    <w:uiPriority w:val="39"/>
    <w:unhideWhenUsed/>
    <w:pPr>
      <w:pBdr/>
      <w:spacing w:after="100"/>
      <w:ind w:left="1540"/>
    </w:pPr>
  </w:style>
  <w:style w:type="paragraph" w:styleId="197">
    <w:name w:val="toc 9"/>
    <w:basedOn w:val="673"/>
    <w:next w:val="67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3"/>
    <w:next w:val="673"/>
    <w:uiPriority w:val="99"/>
    <w:unhideWhenUsed/>
    <w:pPr>
      <w:pBdr/>
      <w:spacing w:after="0" w:afterAutospacing="0"/>
      <w:ind/>
    </w:pPr>
  </w:style>
  <w:style w:type="paragraph" w:styleId="666">
    <w:name w:val="Heading 1"/>
    <w:basedOn w:val="673"/>
    <w:next w:val="673"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667">
    <w:name w:val="Heading 2"/>
    <w:basedOn w:val="673"/>
    <w:next w:val="673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668">
    <w:name w:val="Heading 3"/>
    <w:basedOn w:val="673"/>
    <w:next w:val="673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669">
    <w:name w:val="Heading 4"/>
    <w:basedOn w:val="673"/>
    <w:next w:val="673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670">
    <w:name w:val="Heading 5"/>
    <w:basedOn w:val="673"/>
    <w:next w:val="673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671">
    <w:name w:val="Heading 6"/>
    <w:basedOn w:val="673"/>
    <w:next w:val="673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672">
    <w:name w:val="Title"/>
    <w:basedOn w:val="673"/>
    <w:next w:val="673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673" w:default="1">
    <w:name w:val="Normal"/>
    <w:qFormat/>
    <w:pPr>
      <w:pBdr/>
      <w:spacing/>
      <w:ind/>
    </w:p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table" w:styleId="677">
    <w:name w:val="Table Grid"/>
    <w:basedOn w:val="67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8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679">
    <w:name w:val="Unresolved Mention"/>
    <w:basedOn w:val="67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680">
    <w:name w:val="List Paragraph"/>
    <w:basedOn w:val="673"/>
    <w:uiPriority w:val="34"/>
    <w:qFormat/>
    <w:pPr>
      <w:pBdr/>
      <w:spacing/>
      <w:ind w:left="720"/>
      <w:contextualSpacing w:val="true"/>
    </w:pPr>
  </w:style>
  <w:style w:type="paragraph" w:styleId="681">
    <w:name w:val="Subtitle"/>
    <w:basedOn w:val="673"/>
    <w:next w:val="673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682">
    <w:name w:val="StGen0"/>
    <w:basedOn w:val="675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StGen1"/>
    <w:basedOn w:val="675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StGen2"/>
    <w:basedOn w:val="675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revision>1</cp:revision>
  <dcterms:created xsi:type="dcterms:W3CDTF">2022-09-18T16:51:00Z</dcterms:created>
  <dcterms:modified xsi:type="dcterms:W3CDTF">2026-10-01T09:22:54Z</dcterms:modified>
</cp:coreProperties>
</file>