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b/>
          <w:color w:val="199a9a"/>
          <w:sz w:val="24"/>
        </w:rPr>
        <w:t xml:space="preserve">Project Design Phase</w:t>
      </w:r>
      <w:r/>
    </w:p>
    <w:p>
      <w:pPr>
        <w:pStyle w:val="729"/>
        <w:pBdr/>
        <w:spacing/>
        <w:ind/>
        <w:jc w:val="center"/>
        <w:rPr/>
      </w:pPr>
      <w:r>
        <w:t xml:space="preserve">Problem – Solution Fit Report</w:t>
      </w:r>
      <w:r/>
    </w:p>
    <w:p>
      <w:pPr>
        <w:pBdr/>
        <w:spacing w:after="280"/>
        <w:ind/>
        <w:jc w:val="center"/>
        <w:rPr/>
      </w:pPr>
      <w:r>
        <w:rPr>
          <w:i/>
          <w:color w:val="2f6b9a"/>
          <w:sz w:val="22"/>
        </w:rPr>
        <w:t xml:space="preserve">Project: 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Date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Team ID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</w:r>
            <w:r>
              <w:rPr>
                <w:b w:val="0"/>
                <w:color w:val="1f2933"/>
                <w:sz w:val="20"/>
              </w:rPr>
              <w:t xml:space="preserve">SWTID-2026-2527</w:t>
            </w:r>
            <w:r>
              <w:rPr>
                <w:b w:val="0"/>
                <w:color w:val="1f2933"/>
                <w:sz w:val="20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Project Name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20"/>
              </w:rPr>
              <w:t xml:space="preserve">Maximum Marks</w:t>
            </w:r>
            <w:r/>
          </w:p>
        </w:tc>
        <w:tc>
          <w:tcPr>
            <w:tcBorders/>
            <w:tcW w:w="76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20"/>
              </w:rPr>
              <w:t xml:space="preserve">2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Purpose and project context</w:t>
      </w:r>
      <w:r/>
    </w:p>
    <w:p>
      <w:pPr>
        <w:pBdr/>
        <w:spacing/>
        <w:ind/>
        <w:rPr/>
      </w:pPr>
      <w:r>
        <w:t xml:space="preserve">This report translates the pr</w:t>
      </w:r>
      <w:r>
        <w:t xml:space="preserve">oject’s ServiceNow implementation into a Problem–Solution Fit view. The project addresses a concrete access-control problem: users should see and act on institution records only when their role and the record’s Branch value justify the requested operation.</w:t>
      </w:r>
      <w:r/>
    </w:p>
    <w:p>
      <w:pPr>
        <w:pStyle w:val="713"/>
        <w:pBdr/>
        <w:spacing/>
        <w:ind/>
        <w:rPr/>
      </w:pPr>
      <w:r>
        <w:t xml:space="preserve">2. Problem–Solution Fit canvas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0760" cy="3378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roblem_solution_fit_canva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80760" cy="337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8.80pt;height:266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40"/>
        <w:ind/>
        <w:jc w:val="center"/>
        <w:rPr/>
      </w:pPr>
      <w:r>
        <w:rPr>
          <w:i/>
          <w:color w:val="2f6b9a"/>
          <w:sz w:val="18"/>
        </w:rPr>
        <w:t xml:space="preserve">Figure 1. Custom Problem–Solution Fit canvas for the Script-Controlled ACL project.</w:t>
      </w:r>
      <w:r/>
    </w:p>
    <w:p>
      <w:pPr>
        <w:pStyle w:val="713"/>
        <w:pBdr/>
        <w:spacing/>
        <w:ind/>
        <w:rPr/>
      </w:pPr>
      <w:r>
        <w:t xml:space="preserve">3. Target users and problem evidence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12304a"/>
            <w:tcBorders/>
            <w:tcW w:w="244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Dimension</w:t>
            </w:r>
            <w:r/>
          </w:p>
        </w:tc>
        <w:tc>
          <w:tcPr>
            <w:shd w:val="clear" w:color="auto" w:fill="12304a"/>
            <w:tcBorders/>
            <w:tcW w:w="734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Project-specific finding</w:t>
            </w:r>
            <w:r/>
          </w:p>
        </w:tc>
      </w:tr>
      <w:tr>
        <w:trPr/>
        <w:tc>
          <w:tcPr>
            <w:shd w:val="clear" w:color="auto" w:fill="f5f8fb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Target users</w:t>
            </w:r>
            <w:r/>
          </w:p>
        </w:tc>
        <w:tc>
          <w:tcPr>
            <w:shd w:val="clear" w:color="auto" w:fill="f5f8fb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ServiceNow administrators, security administrators, instructors and authorized branch staff who work with institution/student records.</w:t>
            </w:r>
            <w:r/>
          </w:p>
        </w:tc>
      </w:tr>
      <w:tr>
        <w:trPr/>
        <w:tc>
          <w:tcPr>
            <w:shd w:val="clear" w:color="auto" w:fill="ffffff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Record context</w:t>
            </w:r>
            <w:r/>
          </w:p>
        </w:tc>
        <w:tc>
          <w:tcPr>
            <w:shd w:val="clear" w:color="auto" w:fill="ffffff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Custom table `u_institution_details` with Student Roll Number, Student Name, Faculty Name, Branch, Email, Phone Number and Description.</w:t>
            </w:r>
            <w:r/>
          </w:p>
        </w:tc>
      </w:tr>
      <w:tr>
        <w:trPr/>
        <w:tc>
          <w:tcPr>
            <w:shd w:val="clear" w:color="auto" w:fill="f5f8fb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Core problem</w:t>
            </w:r>
            <w:r/>
          </w:p>
        </w:tc>
        <w:tc>
          <w:tcPr>
            <w:shd w:val="clear" w:color="auto" w:fill="f5f8fb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 generic table-level permission model cannot express “EEE users may see only EEE records” while also separating read, create, write and delete capabilities.</w:t>
            </w:r>
            <w:r/>
          </w:p>
        </w:tc>
      </w:tr>
      <w:tr>
        <w:trPr/>
        <w:tc>
          <w:tcPr>
            <w:shd w:val="clear" w:color="auto" w:fill="ffffff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Risk if unresolved</w:t>
            </w:r>
            <w:r/>
          </w:p>
        </w:tc>
        <w:tc>
          <w:tcPr>
            <w:shd w:val="clear" w:color="auto" w:fill="ffffff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Unauthorized visibility or modification of student data; over-privileged users; inconsistent controls between list, form and portal experiences.</w:t>
            </w:r>
            <w:r/>
          </w:p>
        </w:tc>
      </w:tr>
      <w:tr>
        <w:trPr/>
        <w:tc>
          <w:tcPr>
            <w:shd w:val="clear" w:color="auto" w:fill="f5f8fb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Existing trigger</w:t>
            </w:r>
            <w:r/>
          </w:p>
        </w:tc>
        <w:tc>
          <w:tcPr>
            <w:shd w:val="clear" w:color="auto" w:fill="f5f8fb"/>
            <w:tcBorders/>
            <w:tcW w:w="50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 user opens the Student Records list/form or attempts a CRUD action; ServiceNow must decide whether that action is permitted.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4. Proposed fit and value proposition</w:t>
      </w:r>
      <w:r/>
    </w:p>
    <w:p>
      <w:pPr>
        <w:pStyle w:val="743"/>
        <w:pBdr/>
        <w:spacing/>
        <w:ind/>
        <w:rPr/>
      </w:pPr>
      <w:r>
        <w:t xml:space="preserve">Use the ServiceNow ACL layer as the single enforcement point for record-level access.</w:t>
      </w:r>
      <w:r/>
    </w:p>
    <w:p>
      <w:pPr>
        <w:pStyle w:val="743"/>
        <w:pBdr/>
        <w:spacing/>
        <w:ind/>
        <w:rPr/>
      </w:pPr>
      <w:r>
        <w:t xml:space="preserve">Combine role checks with a data condition: the READ ACL uses the custom `bb1` role and Branch = EEE.</w:t>
      </w:r>
      <w:r/>
    </w:p>
    <w:p>
      <w:pPr>
        <w:pStyle w:val="743"/>
        <w:pBdr/>
        <w:spacing/>
        <w:ind/>
        <w:rPr/>
      </w:pPr>
      <w:r>
        <w:t xml:space="preserve">Use a permission ladder: `bb1` for read, `bb2` for create, `bb3` for write, and `bb4` for delete.</w:t>
      </w:r>
      <w:r/>
    </w:p>
    <w:p>
      <w:pPr>
        <w:pStyle w:val="743"/>
        <w:pBdr/>
        <w:spacing/>
        <w:ind/>
        <w:rPr/>
      </w:pPr>
      <w:r>
        <w:t xml:space="preserve">Keep an explicit administrator bypass so authorized administrators retain full operational access.</w:t>
      </w:r>
      <w:r/>
    </w:p>
    <w:p>
      <w:pPr>
        <w:pStyle w:val="743"/>
        <w:pBdr/>
        <w:spacing/>
        <w:ind/>
        <w:rPr/>
      </w:pPr>
      <w:r>
        <w:t xml:space="preserve">Ensure the same policy applies regardless of whether a user reaches the data through a list, form or Service Portal interface.</w:t>
      </w:r>
      <w:r/>
    </w:p>
    <w:p>
      <w:pPr>
        <w:pStyle w:val="713"/>
        <w:pBdr/>
        <w:spacing/>
        <w:ind/>
        <w:rPr/>
      </w:pPr>
      <w:r>
        <w:t xml:space="preserve">5. Validation signals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/>
        <w:tc>
          <w:tcPr>
            <w:shd w:val="clear" w:color="auto" w:fill="12304a"/>
            <w:tcBorders/>
            <w:tcW w:w="28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Validation check</w:t>
            </w:r>
            <w:r/>
          </w:p>
        </w:tc>
        <w:tc>
          <w:tcPr>
            <w:shd w:val="clear" w:color="auto" w:fill="12304a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Expected outcome</w:t>
            </w:r>
            <w:r/>
          </w:p>
        </w:tc>
        <w:tc>
          <w:tcPr>
            <w:shd w:val="clear" w:color="auto" w:fill="12304a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Fit implication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EEE user with bb1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Can view EEE branch records only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The solution matches the branch-level visibility need.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User without required role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Cannot view protected records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Default-deny behavior limits accidental exposure.</w:t>
            </w:r>
            <w:r/>
          </w:p>
        </w:tc>
      </w:tr>
      <w:tr>
        <w:trPr/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Administrator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Can view records across branches</w:t>
            </w:r>
            <w:r/>
          </w:p>
        </w:tc>
        <w:tc>
          <w:tcPr>
            <w:shd w:val="clear" w:color="auto" w:fill="f5f8fb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Operational support remains possible without weakening normal controls.</w:t>
            </w:r>
            <w:r/>
          </w:p>
        </w:tc>
      </w:tr>
      <w:tr>
        <w:trPr/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Role progression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bb1 → bb2 → bb3 → bb4 adds read → create → write → delete</w:t>
            </w:r>
            <w:r/>
          </w:p>
        </w:tc>
        <w:tc>
          <w:tcPr>
            <w:shd w:val="clear" w:color="auto" w:fill="ffffff"/>
            <w:tcBorders/>
            <w:tcW w:w="33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Capabilities are explicit, explainable and auditable.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4"/>
        <w:pBdr/>
        <w:spacing/>
        <w:ind/>
        <w:rPr/>
      </w:pPr>
      <w:r>
        <w:t xml:space="preserve">Evidence of branch-filtered records</w:t>
      </w:r>
      <w:r/>
    </w:p>
    <w:p>
      <w:pPr>
        <w:pBdr/>
        <w:spacing/>
        <w:ind/>
        <w:rPr/>
      </w:pPr>
      <w:r>
        <w:t xml:space="preserve">The source project includes a ServiceNow list view showing institution records with different Branch values. This is the concrete data context on which the ACL decision is applied.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20506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69280" cy="2205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6.40pt;height:173.6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40"/>
        <w:ind/>
        <w:jc w:val="center"/>
        <w:rPr/>
      </w:pPr>
      <w:r>
        <w:rPr>
          <w:i/>
          <w:color w:val="2f6b9a"/>
          <w:sz w:val="18"/>
        </w:rPr>
        <w:t xml:space="preserve">Project evidence screenshot: Evidence of branch-filtered records</w:t>
      </w:r>
      <w:r/>
    </w:p>
    <w:p>
      <w:pPr>
        <w:pStyle w:val="713"/>
        <w:pBdr/>
        <w:spacing/>
        <w:ind/>
        <w:rPr/>
      </w:pPr>
      <w:r>
        <w:t xml:space="preserve">6. Fit conclusion</w:t>
      </w:r>
      <w:r/>
    </w:p>
    <w:p>
      <w:pPr>
        <w:pBdr/>
        <w:spacing/>
        <w:ind/>
        <w:rPr/>
      </w:pPr>
      <w:r>
        <w:t xml:space="preserve">The project demonstrates a strong problem–solution fit for controlled student/institution data access in ServiceNow. The pain is frequent and security-sensitive, the affected users are identifiable, and th</w:t>
      </w:r>
      <w:r>
        <w:t xml:space="preserve">e proposed ACL pattern directly changes the authorization decision at the platform layer rather than relying on a visual filter. The fit should be further validated by testing each role combination against EEE, ECE and CSE records in a controlled instance.</w:t>
      </w:r>
      <w:r/>
    </w:p>
    <w:p>
      <w:pPr>
        <w:pStyle w:val="713"/>
        <w:pBdr/>
        <w:spacing/>
        <w:ind/>
        <w:rPr/>
      </w:pPr>
      <w:r>
        <w:t xml:space="preserve">References</w:t>
      </w:r>
      <w:r/>
    </w:p>
    <w:p>
      <w:pPr>
        <w:pBdr/>
        <w:spacing/>
        <w:ind/>
        <w:rPr/>
      </w:pPr>
      <w:r>
        <w:t xml:space="preserve">Primary source: project document “Script-Controlled ACL – Restrict Record Access Based on Field Value,” supplied by the project owner. Template structure adapted from the Phase 3 Problem–Solution Fit Template.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8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2"/>
      <w:pBdr/>
      <w:spacing/>
      <w:ind/>
      <w:rPr/>
    </w:pPr>
    <w:r>
      <w:rPr>
        <w:color w:val="2f6b9a"/>
      </w:rPr>
      <w:t xml:space="preserve">PROJECT DESIGN PHASE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120" w:line="259" w:lineRule="auto"/>
      <w:ind/>
    </w:pPr>
    <w:rPr>
      <w:rFonts w:ascii="Aptos" w:hAnsi="Aptos"/>
      <w:color w:val="1f2933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100" w:before="20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6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10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8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100" w:before="20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3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100" w:before="2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2026-10-01T09:23:13Z</dcterms:modified>
  <cp:category/>
</cp:coreProperties>
</file>