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b/>
          <w:color w:val="199a9a"/>
          <w:sz w:val="24"/>
        </w:rPr>
        <w:t xml:space="preserve">Project Design Phase</w:t>
      </w:r>
      <w:r/>
    </w:p>
    <w:p>
      <w:pPr>
        <w:pStyle w:val="729"/>
        <w:pBdr/>
        <w:spacing/>
        <w:ind/>
        <w:jc w:val="center"/>
        <w:rPr/>
      </w:pPr>
      <w:r>
        <w:t xml:space="preserve">Solution Architecture Report</w:t>
      </w:r>
      <w:r/>
    </w:p>
    <w:p>
      <w:pPr>
        <w:pBdr/>
        <w:spacing w:after="280"/>
        <w:ind/>
        <w:jc w:val="center"/>
        <w:rPr/>
      </w:pPr>
      <w:r>
        <w:rPr>
          <w:i/>
          <w:color w:val="2f6b9a"/>
          <w:sz w:val="22"/>
        </w:rPr>
        <w:t xml:space="preserve">Project: Script-Controlled ACL – Restrict Record Access Based on Field Value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40"/>
        <w:gridCol w:w="5040"/>
      </w:tblGrid>
      <w:tr>
        <w:trPr/>
        <w:tc>
          <w:tcPr>
            <w:shd w:val="clear" w:color="auto" w:fill="12304a"/>
            <w:tcBorders/>
            <w:tcW w:w="21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20"/>
              </w:rPr>
              <w:t xml:space="preserve">Date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20"/>
              </w:rPr>
              <w:t xml:space="preserve">1 October 2026</w:t>
            </w:r>
            <w:r/>
          </w:p>
        </w:tc>
      </w:tr>
      <w:tr>
        <w:trPr/>
        <w:tc>
          <w:tcPr>
            <w:shd w:val="clear" w:color="auto" w:fill="12304a"/>
            <w:tcBorders/>
            <w:tcW w:w="21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20"/>
              </w:rPr>
              <w:t xml:space="preserve">Team ID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20"/>
              </w:rPr>
            </w:r>
            <w:r>
              <w:rPr>
                <w:b w:val="0"/>
                <w:color w:val="1f2933"/>
                <w:sz w:val="20"/>
              </w:rPr>
              <w:t xml:space="preserve">SWTID-2026-2527</w:t>
            </w:r>
            <w:r>
              <w:rPr>
                <w:b w:val="0"/>
                <w:color w:val="1f2933"/>
                <w:sz w:val="20"/>
              </w:rPr>
            </w:r>
            <w:r/>
          </w:p>
        </w:tc>
      </w:tr>
      <w:tr>
        <w:trPr/>
        <w:tc>
          <w:tcPr>
            <w:shd w:val="clear" w:color="auto" w:fill="12304a"/>
            <w:tcBorders/>
            <w:tcW w:w="21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20"/>
              </w:rPr>
              <w:t xml:space="preserve">Project Name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20"/>
              </w:rPr>
              <w:t xml:space="preserve">Script-Controlled ACL – Restrict Record Access Based on Field Value</w:t>
            </w:r>
            <w:r/>
          </w:p>
        </w:tc>
      </w:tr>
      <w:tr>
        <w:trPr/>
        <w:tc>
          <w:tcPr>
            <w:shd w:val="clear" w:color="auto" w:fill="12304a"/>
            <w:tcBorders/>
            <w:tcW w:w="21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20"/>
              </w:rPr>
              <w:t xml:space="preserve">Maximum Marks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20"/>
              </w:rPr>
              <w:t xml:space="preserve">2 Marks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1. Architecture objective</w:t>
      </w:r>
      <w:r/>
    </w:p>
    <w:p>
      <w:pPr>
        <w:pBdr/>
        <w:spacing/>
        <w:ind/>
        <w:rPr/>
      </w:pPr>
      <w:r>
        <w:t xml:space="preserve">The architecture places authorization at the ServiceNow platform ACL layer. Requests from s</w:t>
      </w:r>
      <w:r>
        <w:t xml:space="preserve">upported access channels are evaluated against the session user, requested operation, role requirements and—in the READ case—the Branch value on the target record. The result is an auditable allow/deny decision before the table data is returned or changed.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80760" cy="33604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ution_architecture_flo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80760" cy="3360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8.80pt;height:264.6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40"/>
        <w:ind/>
        <w:jc w:val="center"/>
        <w:rPr/>
      </w:pPr>
      <w:r>
        <w:rPr>
          <w:i/>
          <w:color w:val="2f6b9a"/>
          <w:sz w:val="18"/>
        </w:rPr>
        <w:t xml:space="preserve">Figure 1. Custom logical architecture and authorization flow.</w:t>
      </w:r>
      <w:r/>
    </w:p>
    <w:p>
      <w:pPr>
        <w:pStyle w:val="713"/>
        <w:pBdr/>
        <w:spacing/>
        <w:ind/>
        <w:rPr/>
      </w:pPr>
      <w:r>
        <w:t xml:space="preserve">2. Components and responsibilities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Component</w:t>
            </w:r>
            <w:r/>
          </w:p>
        </w:tc>
        <w:tc>
          <w:tcPr>
            <w:shd w:val="clear" w:color="auto" w:fill="12304a"/>
            <w:tcBorders/>
            <w:tcW w:w="360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Responsibility</w:t>
            </w:r>
            <w:r/>
          </w:p>
        </w:tc>
        <w:tc>
          <w:tcPr>
            <w:shd w:val="clear" w:color="auto" w:fill="12304a"/>
            <w:tcBorders/>
            <w:tcW w:w="367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Project implementation</w:t>
            </w:r>
            <w:r/>
          </w:p>
        </w:tc>
      </w:tr>
      <w:tr>
        <w:trPr/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Access channels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Provide list, form, portal or server-side entry points.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Student Records list/form and other ServiceNow interfaces.</w:t>
            </w:r>
            <w:r/>
          </w:p>
        </w:tc>
      </w:tr>
      <w:tr>
        <w:trPr/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Session user and roles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Identify the requester and assigned permissions.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EEE User plus `bb1`, `bb2`, `bb3`, `bb4`; administrator role for bypass.</w:t>
            </w:r>
            <w:r/>
          </w:p>
        </w:tc>
      </w:tr>
      <w:tr>
        <w:trPr/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ACL operation resolver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Select the ACL for READ, CREATE, WRITE or DELETE.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Four record ACLs on `u_institution_details`.</w:t>
            </w:r>
            <w:r/>
          </w:p>
        </w:tc>
      </w:tr>
      <w:tr>
        <w:trPr/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Script and data condition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Evaluate role membership, admin status and record data.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Advanced script plus Branch = EEE condition for READ.</w:t>
            </w:r>
            <w:r/>
          </w:p>
        </w:tc>
      </w:tr>
      <w:tr>
        <w:trPr/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Decision outcome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 the operation or deny it.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ServiceNow enforces the decision at the record/table security boundary.</w:t>
            </w:r>
            <w:r/>
          </w:p>
        </w:tc>
      </w:tr>
      <w:tr>
        <w:trPr/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Data layer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Store the protected institution/student records.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`u_institution_details` custom table.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3. Data model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/>
        <w:tc>
          <w:tcPr>
            <w:shd w:val="clear" w:color="auto" w:fill="12304a"/>
            <w:tcBorders/>
            <w:tcW w:w="22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Field</w:t>
            </w:r>
            <w:r/>
          </w:p>
        </w:tc>
        <w:tc>
          <w:tcPr>
            <w:shd w:val="clear" w:color="auto" w:fill="12304a"/>
            <w:tcBorders/>
            <w:tcW w:w="302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Type / role in model</w:t>
            </w:r>
            <w:r/>
          </w:p>
        </w:tc>
        <w:tc>
          <w:tcPr>
            <w:shd w:val="clear" w:color="auto" w:fill="12304a"/>
            <w:tcBorders/>
            <w:tcW w:w="410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Security relevance</w:t>
            </w:r>
            <w:r/>
          </w:p>
        </w:tc>
      </w:tr>
      <w:tr>
        <w:trPr/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Student Roll Number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Auto number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Stable record identifier for testing and audit.</w:t>
            </w:r>
            <w:r/>
          </w:p>
        </w:tc>
      </w:tr>
      <w:tr>
        <w:trPr/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Student Name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Reference to User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Identifies the student record subject.</w:t>
            </w:r>
            <w:r/>
          </w:p>
        </w:tc>
      </w:tr>
      <w:tr>
        <w:trPr/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Faculty Name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Reference to User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Identifies faculty or ownership context.</w:t>
            </w:r>
            <w:r/>
          </w:p>
        </w:tc>
      </w:tr>
      <w:tr>
        <w:trPr/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Branch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Choice: ECE, EEE, CSE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Primary data attribute used by the READ condition.</w:t>
            </w:r>
            <w:r/>
          </w:p>
        </w:tc>
      </w:tr>
      <w:tr>
        <w:trPr/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Email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String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Sensitive contact data protected by record access.</w:t>
            </w:r>
            <w:r/>
          </w:p>
        </w:tc>
      </w:tr>
      <w:tr>
        <w:trPr/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Phone Number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String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Sensitive contact data protected by record access.</w:t>
            </w:r>
            <w:r/>
          </w:p>
        </w:tc>
      </w:tr>
      <w:tr>
        <w:trPr/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Description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Multi-string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Additional record context; should follow the same ACL decision.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4. Authorization matrix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>
        <w:trPr/>
        <w:tc>
          <w:tcPr>
            <w:shd w:val="clear" w:color="auto" w:fill="12304a"/>
            <w:tcBorders/>
            <w:tcW w:w="302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Requester state</w:t>
            </w:r>
            <w:r/>
          </w:p>
        </w:tc>
        <w:tc>
          <w:tcPr>
            <w:shd w:val="clear" w:color="auto" w:fill="12304a"/>
            <w:tcBorders/>
            <w:tcW w:w="115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READ EEE</w:t>
            </w:r>
            <w:r/>
          </w:p>
        </w:tc>
        <w:tc>
          <w:tcPr>
            <w:shd w:val="clear" w:color="auto" w:fill="12304a"/>
            <w:tcBorders/>
            <w:tcW w:w="14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READ non-EEE</w:t>
            </w:r>
            <w:r/>
          </w:p>
        </w:tc>
        <w:tc>
          <w:tcPr>
            <w:shd w:val="clear" w:color="auto" w:fill="12304a"/>
            <w:tcBorders/>
            <w:tcW w:w="115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CREATE</w:t>
            </w:r>
            <w:r/>
          </w:p>
        </w:tc>
        <w:tc>
          <w:tcPr>
            <w:shd w:val="clear" w:color="auto" w:fill="12304a"/>
            <w:tcBorders/>
            <w:tcW w:w="115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WRITE</w:t>
            </w:r>
            <w:r/>
          </w:p>
        </w:tc>
        <w:tc>
          <w:tcPr>
            <w:shd w:val="clear" w:color="auto" w:fill="12304a"/>
            <w:tcBorders/>
            <w:tcW w:w="115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DELETE</w:t>
            </w:r>
            <w:r/>
          </w:p>
        </w:tc>
      </w:tr>
      <w:tr>
        <w:trPr/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No custom role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</w:t>
            </w:r>
            <w:r/>
          </w:p>
        </w:tc>
      </w:tr>
      <w:tr>
        <w:trPr/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bb1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Deny*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Deny*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Deny*</w:t>
            </w:r>
            <w:r/>
          </w:p>
        </w:tc>
      </w:tr>
      <w:tr>
        <w:trPr/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bb1 + bb2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Deny*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Deny*</w:t>
            </w:r>
            <w:r/>
          </w:p>
        </w:tc>
      </w:tr>
      <w:tr>
        <w:trPr/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bb1 + bb2 + bb3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Deny*</w:t>
            </w:r>
            <w:r/>
          </w:p>
        </w:tc>
      </w:tr>
      <w:tr>
        <w:trPr/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bb1 + bb2 + bb3 + bb4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Deny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5f8fb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</w:tr>
      <w:tr>
        <w:trPr/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admin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  <w:tc>
          <w:tcPr>
            <w:shd w:val="clear" w:color="auto" w:fill="ffffff"/>
            <w:tcBorders/>
            <w:tcW w:w="16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Allow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*The starred outcomes represent the project’s staged permission design; exact record-level behavior for create/write/delete should be confirmed with branch-specific conditions if the production policy requires branch isolation for every operation.</w:t>
      </w:r>
      <w:r/>
    </w:p>
    <w:p>
      <w:pPr>
        <w:pStyle w:val="713"/>
        <w:pBdr/>
        <w:spacing/>
        <w:ind/>
        <w:rPr/>
      </w:pPr>
      <w:r>
        <w:t xml:space="preserve">5. Request sequence</w:t>
      </w:r>
      <w:r/>
    </w:p>
    <w:p>
      <w:pPr>
        <w:pStyle w:val="743"/>
        <w:pBdr/>
        <w:spacing/>
        <w:ind/>
        <w:rPr/>
      </w:pPr>
      <w:r>
        <w:t xml:space="preserve">1. A user opens or attempts an operation on `u_institution_details`.</w:t>
      </w:r>
      <w:r/>
    </w:p>
    <w:p>
      <w:pPr>
        <w:pStyle w:val="743"/>
        <w:pBdr/>
        <w:spacing/>
        <w:ind/>
        <w:rPr/>
      </w:pPr>
      <w:r>
        <w:t xml:space="preserve">2. ServiceNow identifies the operation (read, create, write or delete) and loads the corresponding ACL.</w:t>
      </w:r>
      <w:r/>
    </w:p>
    <w:p>
      <w:pPr>
        <w:pStyle w:val="743"/>
        <w:pBdr/>
        <w:spacing/>
        <w:ind/>
        <w:rPr/>
      </w:pPr>
      <w:r>
        <w:t xml:space="preserve">3. The ACL checks the administrator bypass and required role membership.</w:t>
      </w:r>
      <w:r/>
    </w:p>
    <w:p>
      <w:pPr>
        <w:pStyle w:val="743"/>
        <w:pBdr/>
        <w:spacing/>
        <w:ind/>
        <w:rPr/>
      </w:pPr>
      <w:r>
        <w:t xml:space="preserve">4. For READ, the data condition checks whether the target record has Branch = EEE.</w:t>
      </w:r>
      <w:r/>
    </w:p>
    <w:p>
      <w:pPr>
        <w:pStyle w:val="743"/>
        <w:pBdr/>
        <w:spacing/>
        <w:ind/>
        <w:rPr/>
      </w:pPr>
      <w:r>
        <w:t xml:space="preserve">5. ServiceNow returns the permitted data/action or denies the request; the UI reflects the outcome through visible records and action controls.</w:t>
      </w:r>
      <w:r/>
    </w:p>
    <w:p>
      <w:pPr>
        <w:pStyle w:val="714"/>
        <w:pBdr/>
        <w:spacing/>
        <w:ind/>
        <w:rPr/>
      </w:pPr>
      <w:r>
        <w:t xml:space="preserve">Evidence of the operation-specific ACL setup</w:t>
      </w:r>
      <w:r/>
    </w:p>
    <w:p>
      <w:pPr>
        <w:pBdr/>
        <w:spacing/>
        <w:ind/>
        <w:rPr/>
      </w:pPr>
      <w:r>
        <w:t xml:space="preserve">The project evidence shows a separate ACL configuration for an operation on `u_institution_details`, supporting the architecture’s operation-specific policy layer.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24178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69280" cy="2417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6.40pt;height:190.3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40"/>
        <w:ind/>
        <w:jc w:val="center"/>
        <w:rPr/>
      </w:pPr>
      <w:r>
        <w:rPr>
          <w:i/>
          <w:color w:val="2f6b9a"/>
          <w:sz w:val="18"/>
        </w:rPr>
        <w:t xml:space="preserve">Project evidence screenshot: Evidence of the operation-specific ACL setup</w:t>
      </w:r>
      <w:r/>
    </w:p>
    <w:p>
      <w:pPr>
        <w:pStyle w:val="714"/>
        <w:pBdr/>
        <w:spacing/>
        <w:ind/>
        <w:rPr/>
      </w:pPr>
      <w:r>
        <w:t xml:space="preserve">Evidence of the ACL operation and role requirement</w:t>
      </w:r>
      <w:r/>
    </w:p>
    <w:p>
      <w:pPr>
        <w:pBdr/>
        <w:spacing/>
        <w:ind/>
        <w:rPr/>
      </w:pPr>
      <w:r>
        <w:t xml:space="preserve">The project evidence shows another ACL configuration with an explicit operation and required role, reinforcing the staged permission model.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2152364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69280" cy="2152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6.40pt;height:169.4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40"/>
        <w:ind/>
        <w:jc w:val="center"/>
        <w:rPr/>
      </w:pPr>
      <w:r>
        <w:rPr>
          <w:i/>
          <w:color w:val="2f6b9a"/>
          <w:sz w:val="18"/>
        </w:rPr>
        <w:t xml:space="preserve">Project evidence screenshot: Evidence of the ACL operation and role requirement</w:t>
      </w:r>
      <w:r/>
    </w:p>
    <w:p>
      <w:pPr>
        <w:pStyle w:val="713"/>
        <w:pBdr/>
        <w:spacing/>
        <w:ind/>
        <w:rPr/>
      </w:pPr>
      <w:r>
        <w:t xml:space="preserve">6. Security and quality considerations</w:t>
      </w:r>
      <w:r/>
    </w:p>
    <w:p>
      <w:pPr>
        <w:pStyle w:val="743"/>
        <w:pBdr/>
        <w:spacing/>
        <w:ind/>
        <w:rPr/>
      </w:pPr>
      <w:r>
        <w:t xml:space="preserve">Default deny: explicitly require roles instead of relying on UI visibility.</w:t>
      </w:r>
      <w:r/>
    </w:p>
    <w:p>
      <w:pPr>
        <w:pStyle w:val="743"/>
        <w:pBdr/>
        <w:spacing/>
        <w:ind/>
        <w:rPr/>
      </w:pPr>
      <w:r>
        <w:t xml:space="preserve">Least privilege: assign only the role needed for the user’s operation.</w:t>
      </w:r>
      <w:r/>
    </w:p>
    <w:p>
      <w:pPr>
        <w:pStyle w:val="743"/>
        <w:pBdr/>
        <w:spacing/>
        <w:ind/>
        <w:rPr/>
      </w:pPr>
      <w:r>
        <w:t xml:space="preserve">Defense in depth: retain both role checks and record-field conditions where branch isolation is required.</w:t>
      </w:r>
      <w:r/>
    </w:p>
    <w:p>
      <w:pPr>
        <w:pStyle w:val="743"/>
        <w:pBdr/>
        <w:spacing/>
        <w:ind/>
        <w:rPr/>
      </w:pPr>
      <w:r>
        <w:t xml:space="preserve">Role governance: document who may assign `bb1`–`bb4` and restrict `security_admin` elevation.</w:t>
      </w:r>
      <w:r/>
    </w:p>
    <w:p>
      <w:pPr>
        <w:pStyle w:val="743"/>
        <w:pBdr/>
        <w:spacing/>
        <w:ind/>
        <w:rPr/>
      </w:pPr>
      <w:r>
        <w:t xml:space="preserve">Testability: create automated tests for every role/operation/branch combination and for impersonated users.</w:t>
      </w:r>
      <w:r/>
    </w:p>
    <w:p>
      <w:pPr>
        <w:pStyle w:val="743"/>
        <w:pBdr/>
        <w:spacing/>
        <w:ind/>
        <w:rPr/>
      </w:pPr>
      <w:r>
        <w:t xml:space="preserve">Operational safety: review integrations, background scripts and elevated sessions so they do not unintentionally bypass the intended policy.</w:t>
      </w:r>
      <w:r/>
    </w:p>
    <w:p>
      <w:pPr>
        <w:pStyle w:val="713"/>
        <w:pBdr/>
        <w:spacing/>
        <w:ind/>
        <w:rPr/>
      </w:pPr>
      <w:r>
        <w:t xml:space="preserve">7. Architecture conclusion</w:t>
      </w:r>
      <w:r/>
    </w:p>
    <w:p>
      <w:pPr>
        <w:pBdr/>
        <w:spacing/>
        <w:ind/>
        <w:rPr/>
      </w:pPr>
      <w:r>
        <w:t xml:space="preserve">The architecture is a compact, platform-native authorization design: the table stores the data, roles express capability, ACLs express operation</w:t>
      </w:r>
      <w:r>
        <w:t xml:space="preserve">-specific policy, and the script/data condition produces the final decision. It is suitable for the project demonstration and can serve as a reusable pattern for additional tables or branches after the policy matrix and automated verification are expanded.</w:t>
      </w:r>
      <w:r/>
    </w:p>
    <w:p>
      <w:pPr>
        <w:pStyle w:val="713"/>
        <w:pBdr/>
        <w:spacing/>
        <w:ind/>
        <w:rPr/>
      </w:pPr>
      <w:r>
        <w:t xml:space="preserve">References</w:t>
      </w:r>
      <w:r/>
    </w:p>
    <w:p>
      <w:pPr>
        <w:pBdr/>
        <w:spacing/>
        <w:ind/>
        <w:rPr/>
      </w:pPr>
      <w:r>
        <w:t xml:space="preserve">Primary source: project document “Script-Controlled ACL – Restrict Record Access Based on Field Value,” supplied by the project owner. Template structure adapted from the Phase 3 Solution Architecture Template.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936" w:right="1080" w:bottom="936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color w:val="2f6b9a"/>
        <w:sz w:val="18"/>
      </w:rPr>
      <w:t xml:space="preserve">Page </w:t>
      <w:fldChar w:fldCharType="begin"/>
      <w:instrText xml:space="preserve"> PAGE 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2"/>
      <w:pBdr/>
      <w:spacing/>
      <w:ind/>
      <w:rPr/>
    </w:pPr>
    <w:r>
      <w:rPr>
        <w:color w:val="2f6b9a"/>
      </w:rPr>
      <w:t xml:space="preserve">PROJECT DESIGN PHASE  |  SCRIPT-CONTROLLED ACL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120" w:line="259" w:lineRule="auto"/>
      <w:ind/>
    </w:pPr>
    <w:rPr>
      <w:rFonts w:ascii="Aptos" w:hAnsi="Aptos"/>
      <w:color w:val="1f2933"/>
      <w:sz w:val="21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100" w:before="20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04a"/>
      <w:sz w:val="36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100" w:before="20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6b9a"/>
      <w:sz w:val="28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100" w:before="20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99a9a"/>
      <w:sz w:val="23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100" w:before="20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2304a"/>
      <w:spacing w:val="5"/>
      <w:sz w:val="52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2026-10-01T09:23:20Z</dcterms:modified>
  <cp:category/>
</cp:coreProperties>
</file>