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99a9a"/>
          <w:sz w:val="22"/>
        </w:rPr>
        <w:t xml:space="preserve">Project Development Phase</w:t>
      </w:r>
      <w:r/>
    </w:p>
    <w:p>
      <w:pPr>
        <w:pStyle w:val="729"/>
        <w:pBdr/>
        <w:spacing/>
        <w:ind/>
        <w:jc w:val="center"/>
        <w:rPr/>
      </w:pPr>
      <w:r>
        <w:t xml:space="preserve">Performance Test Report – Tableau Template</w: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20"/>
        </w:rPr>
        <w:t xml:space="preserve">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Date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Team ID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</w:r>
            <w:r>
              <w:rPr>
                <w:b w:val="0"/>
                <w:color w:val="1f2933"/>
                <w:sz w:val="18"/>
              </w:rPr>
              <w:t xml:space="preserve">SWTID-2026-2527</w:t>
            </w:r>
            <w:r>
              <w:rPr>
                <w:b w:val="0"/>
                <w:color w:val="1f2933"/>
                <w:sz w:val="18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Project Name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Maximum Marks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10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Template adaptation</w:t>
      </w:r>
      <w:r/>
    </w:p>
    <w:p>
      <w:pPr>
        <w:pBdr/>
        <w:spacing/>
        <w:ind/>
        <w:rPr/>
      </w:pPr>
      <w:r>
        <w:t xml:space="preserve">The supplied Tableau template is intend</w:t>
      </w:r>
      <w:r>
        <w:t xml:space="preserve">ed for rendered data, preprocessing, filters, calculation fields, dashboard design and story design. This ACL project does not produce a Tableau workbook, so the same headings are adapted to the ServiceNow security data and its measurable request behavior.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/>
        <w:tc>
          <w:tcPr>
            <w:shd w:val="clear" w:color="auto" w:fill="12304a"/>
            <w:tcBorders/>
            <w:tcW w:w="7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S.No.</w:t>
            </w:r>
            <w:r/>
          </w:p>
        </w:tc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Parameter</w:t>
            </w:r>
            <w:r/>
          </w:p>
        </w:tc>
        <w:tc>
          <w:tcPr>
            <w:shd w:val="clear" w:color="auto" w:fill="12304a"/>
            <w:tcBorders/>
            <w:tcW w:w="662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Project-specific values / evidence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1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Data Rendered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Institution records rendered in the ServiceNow list/form: ECE, EEE and CSE branch values.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Data Preprocessing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Create a controlled fixture with equal branch distribution, realistic contact fields and test users.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3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Utilization of Filters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Branch is a security data condition for READ; verify that a UI filter cannot bypass the ACL.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4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Calculation fields Used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 Tableau calculated fields. Performance calculations: p50, p95, throughput, error rate and authorization-correctness rate.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5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Dashboard design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applicable; replace with a performance-results summary containing latency by record volume and concurrency.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6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Story Design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applicable; use a test narrative: baseline → ACL enabled → load increase → regression decision.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Project-specific test context</w:t>
      </w:r>
      <w:r/>
    </w:p>
    <w:p>
      <w:pPr>
        <w:pBdr/>
        <w:spacing/>
        <w:ind/>
        <w:rPr/>
      </w:pPr>
      <w:r>
        <w:t xml:space="preserve">The system under test is a ServiceNow custom table named `u_institution_details`. It stores Student Roll Number, Stud</w:t>
      </w:r>
      <w:r>
        <w:t xml:space="preserve">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  <w:r/>
    </w:p>
    <w:p>
      <w:pPr>
        <w:pStyle w:val="713"/>
        <w:pBdr/>
        <w:spacing/>
        <w:ind/>
        <w:rPr/>
      </w:pPr>
      <w:r>
        <w:t xml:space="preserve">Evidence from the implemented project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13587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135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0pt;height:106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6"/>
        </w:rPr>
        <w:t xml:space="preserve">Project evidence: advanced READ ACL script and Branch condition.</w:t>
      </w:r>
      <w:r/>
    </w:p>
    <w:p>
      <w:pPr>
        <w:pStyle w:val="713"/>
        <w:pBdr/>
        <w:spacing/>
        <w:ind/>
        <w:rPr/>
      </w:pPr>
      <w:r>
        <w:t xml:space="preserve">2. Performance test cases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/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ID</w:t>
            </w:r>
            <w:r/>
          </w:p>
        </w:tc>
        <w:tc>
          <w:tcPr>
            <w:shd w:val="clear" w:color="auto" w:fill="12304a"/>
            <w:tcBorders/>
            <w:tcW w:w="28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Scenario</w:t>
            </w:r>
            <w:r/>
          </w:p>
        </w:tc>
        <w:tc>
          <w:tcPr>
            <w:shd w:val="clear" w:color="auto" w:fill="12304a"/>
            <w:tcBorders/>
            <w:tcW w:w="43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Expected result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TAB-PT01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Render list at 100/1k/10k records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Records load and only permitted rows are returned; capture p95.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  <w:tr>
        <w:trPr/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TAB-PT02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Apply Branch values and role conditions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Branch condition enforces security, not only visual filtering.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  <w:tr>
        <w:trPr/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TAB-PT03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Compare baseline and ACL-enabled list load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ACL overhead is measured and remains within agreed threshold.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No Tableau-specific screenshots were invented. The report uses actual ServiceNow project evidence and marks dashboard/story fields as not applicable.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64" w:right="936" w:bottom="864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rPr>
        <w:color w:val="2f6b9a"/>
        <w:sz w:val="16"/>
      </w:rPr>
      <w:t xml:space="preserve">PHASE 5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80" w:line="250" w:lineRule="auto"/>
      <w:ind/>
    </w:pPr>
    <w:rPr>
      <w:rFonts w:ascii="Aptos" w:hAnsi="Aptos"/>
      <w:color w:val="1f2933"/>
      <w:sz w:val="19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2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46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2026-10-01T09:23:51Z</dcterms:modified>
  <cp:category/>
</cp:coreProperties>
</file>