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9A9A"/>
          <w:sz w:val="22"/>
        </w:rPr>
        <w:t>Project Development Phase</w:t>
      </w:r>
    </w:p>
    <w:p>
      <w:pPr>
        <w:pStyle w:val="Title"/>
        <w:jc w:val="center"/>
      </w:pPr>
      <w:r>
        <w:t>Model Performance Test – Machine Learning Template</w:t>
      </w:r>
    </w:p>
    <w:p>
      <w:pPr>
        <w:jc w:val="center"/>
      </w:pPr>
      <w:r>
        <w:rPr>
          <w:i/>
          <w:color w:val="2F6B9A"/>
          <w:sz w:val="20"/>
        </w:rPr>
        <w:t>Script-Controlled ACL – Restrict Record Access Based on Field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center"/>
            <w:shd w:fill="12304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8"/>
              </w:rPr>
              <w:t>1 October 2026</w:t>
            </w:r>
          </w:p>
        </w:tc>
      </w:tr>
      <w:tr>
        <w:tc>
          <w:tcPr>
            <w:tcW w:type="dxa" w:w="2088"/>
            <w:vAlign w:val="center"/>
            <w:shd w:fill="12304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8"/>
              </w:rPr>
              <w:t>Not specified in source project document</w:t>
            </w:r>
          </w:p>
        </w:tc>
      </w:tr>
      <w:tr>
        <w:tc>
          <w:tcPr>
            <w:tcW w:type="dxa" w:w="2088"/>
            <w:vAlign w:val="center"/>
            <w:shd w:fill="12304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2088"/>
            <w:vAlign w:val="center"/>
            <w:shd w:fill="12304A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Maximum Marks</w:t>
            </w:r>
          </w:p>
        </w:tc>
        <w:tc>
          <w:tcPr>
            <w:tcW w:type="dxa" w:w="79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8"/>
              </w:rPr>
              <w:t>10 Marks</w:t>
            </w:r>
          </w:p>
        </w:tc>
      </w:tr>
    </w:tbl>
    <w:p/>
    <w:p>
      <w:pPr>
        <w:pStyle w:val="Heading1"/>
      </w:pPr>
      <w:r>
        <w:t>1. Applicability statement</w:t>
      </w:r>
    </w:p>
    <w:p>
      <w:r>
        <w:t>This project is not a machine-learning model. It is a deterministic ServiceNow authorization configuration. Therefore, MAE, MSE, RMSE, R², confusion matrix and hyperparameter tuning are not applicable. The template is completed by mapping model-quality concepts to authorization correctness and system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92"/>
            <w:vAlign w:val="center"/>
            <w:shd w:fill="1230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S.No.</w:t>
            </w:r>
          </w:p>
        </w:tc>
        <w:tc>
          <w:tcPr>
            <w:tcW w:type="dxa" w:w="2160"/>
            <w:vAlign w:val="center"/>
            <w:shd w:fill="1230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6552"/>
            <w:vAlign w:val="center"/>
            <w:shd w:fill="1230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Values / project equivalent</w:t>
            </w:r>
          </w:p>
        </w:tc>
      </w:tr>
      <w:tr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Metrics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Authorization accuracy = allowed decisions matching policy ÷ total decisions. Track false allow = 0, false deny count, p50/p95 latency, throughput and error rate.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Tune the Model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Not applicable. Tune ACL logic, role design, data conditions, indexes and test-data volume instead.</w:t>
            </w:r>
          </w:p>
        </w:tc>
      </w:tr>
      <w:tr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Validation method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Exhaustive role × operation × branch matrix plus load tests at 100/1k/10k/50k records.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Performance baseline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Compare safe development-instance baseline with ACL-enabled behavior; never disable security in production.</w:t>
            </w:r>
          </w:p>
        </w:tc>
      </w:tr>
      <w:tr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Expected quality gate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No protected record exposure; agreed p95 threshold; reproducible decisions across supported channels.</w:t>
            </w:r>
          </w:p>
        </w:tc>
      </w:tr>
    </w:tbl>
    <w:p/>
    <w:p>
      <w:pPr>
        <w:pStyle w:val="Heading1"/>
      </w:pPr>
      <w:r>
        <w:t>Project-specific test context</w:t>
      </w:r>
    </w:p>
    <w:p>
      <w:r>
        <w:t>The system under test is a ServiceNow custom table named `u_institution_details`. It stores Student Roll Number, Student Name, Faculty Name, Branch (ECE/EEE/CSE), Email, Phone Number and Description. Record access is governed by operation-specific ACLs: READ with `bb1` and Branch = EEE, CREATE with `bb2`, WRITE with `bb3`, DELETE with `bb4`, with an administrator bypass.</w:t>
      </w:r>
    </w:p>
    <w:p>
      <w:pPr>
        <w:pStyle w:val="Heading1"/>
      </w:pPr>
      <w:r>
        <w:t>Evidence from the implemented project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5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F6B9A"/>
          <w:sz w:val="16"/>
        </w:rPr>
        <w:t>Project evidence: advanced READ ACL script and Branch condition.</w:t>
      </w:r>
    </w:p>
    <w:p>
      <w:pPr>
        <w:pStyle w:val="Heading1"/>
      </w:pPr>
      <w:r>
        <w:t>2. Authorization quality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shd w:fill="1230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Decision class</w:t>
            </w:r>
          </w:p>
        </w:tc>
        <w:tc>
          <w:tcPr>
            <w:tcW w:type="dxa" w:w="5760"/>
            <w:vAlign w:val="center"/>
            <w:shd w:fill="1230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1728"/>
            <w:vAlign w:val="center"/>
            <w:shd w:fill="1230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True allow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Permitted role and record context allows intended operation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To execute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True deny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Missing role or disallowed Branch is denied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To execute</w:t>
            </w:r>
          </w:p>
        </w:tc>
      </w:tr>
      <w:tr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False allow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Unauthorized operation succeeds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Must be zero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False deny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Authorized operation incorrectly denied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Investigate and resolve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F6B9A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F6B9A"/>
        <w:sz w:val="16"/>
      </w:rPr>
      <w:t>PHASE 5  |  SCRIPT-CONTROLLED ACL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9A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