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7C54EA32" w:rsidR="009D3AA0" w:rsidRDefault="00C369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AND </w:t>
      </w:r>
      <w:r w:rsidR="00AD4C7F">
        <w:rPr>
          <w:b/>
          <w:bCs/>
          <w:sz w:val="28"/>
          <w:szCs w:val="28"/>
        </w:rPr>
        <w:t>CONFIGURE IBM CLOUD SERVICE</w:t>
      </w:r>
    </w:p>
    <w:p w14:paraId="60A98C6E" w14:textId="5B4D9D55" w:rsidR="00AD4C7F" w:rsidRDefault="00AD4C7F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Database In </w:t>
      </w:r>
      <w:proofErr w:type="spellStart"/>
      <w:r w:rsidR="000C5B0A">
        <w:rPr>
          <w:b/>
          <w:bCs/>
          <w:sz w:val="28"/>
          <w:szCs w:val="28"/>
        </w:rPr>
        <w:t>Cloudant</w:t>
      </w:r>
      <w:proofErr w:type="spellEnd"/>
      <w:r>
        <w:rPr>
          <w:b/>
          <w:bCs/>
          <w:sz w:val="28"/>
          <w:szCs w:val="28"/>
        </w:rPr>
        <w:t xml:space="preserve"> DB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3490966" w:rsidR="005B2106" w:rsidRDefault="005B2106" w:rsidP="005C23C7">
            <w:r>
              <w:t>1</w:t>
            </w:r>
            <w:r w:rsidR="00A41689">
              <w:t xml:space="preserve">5 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9CFA5C5" w:rsidR="005B2106" w:rsidRDefault="008063D1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2A792E0" w:rsidR="005B2106" w:rsidRDefault="00A41689" w:rsidP="005C23C7">
            <w:proofErr w:type="spellStart"/>
            <w:r>
              <w:t>IoT</w:t>
            </w:r>
            <w:proofErr w:type="spellEnd"/>
            <w:r>
              <w:t xml:space="preserve"> Based 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7880C0DC" w14:textId="18BD17C2" w:rsidR="005506D3" w:rsidRDefault="004662CA" w:rsidP="0006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store connector for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</w:t>
      </w:r>
    </w:p>
    <w:p w14:paraId="7E73BA12" w14:textId="4D01B070" w:rsidR="005506D3" w:rsidRDefault="005506D3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 xml:space="preserve">Use IBM® </w:t>
      </w:r>
      <w:proofErr w:type="spellStart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>Cloudant</w:t>
      </w:r>
      <w:proofErr w:type="spellEnd"/>
      <w:r w:rsidRPr="001519F9">
        <w:rPr>
          <w:rStyle w:val="Hyperlink"/>
          <w:b/>
          <w:bCs/>
          <w:color w:val="auto"/>
          <w:sz w:val="24"/>
          <w:szCs w:val="24"/>
          <w:u w:val="none"/>
        </w:rPr>
        <w:t>® NoSQL DB for IBM Cloud to store and access your device data in daily, weekly, or monthly databases set by on your selected bucket interval.</w:t>
      </w:r>
    </w:p>
    <w:p w14:paraId="52B25019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Current bucket interval database.</w:t>
      </w:r>
    </w:p>
    <w:p w14:paraId="1DB7ABFF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Upcoming interval database.</w:t>
      </w:r>
    </w:p>
    <w:p w14:paraId="2A4E121B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When the end of an interval is reached, device data is stored in the bucket database for the new interval and a new database is created for the following interval.</w:t>
      </w:r>
    </w:p>
    <w:p w14:paraId="10195FB1" w14:textId="77777777" w:rsidR="001860FA" w:rsidRDefault="001860FA" w:rsidP="001519F9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Configuration database.</w:t>
      </w:r>
    </w:p>
    <w:p w14:paraId="1DE9CE2F" w14:textId="03D1D55E" w:rsidR="00441E38" w:rsidRDefault="001860FA" w:rsidP="00062737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 xml:space="preserve">Design documents that you add to the configuration database are copied to new databases as these are </w:t>
      </w:r>
      <w:r w:rsidR="00850D21">
        <w:rPr>
          <w:rStyle w:val="Hyperlink"/>
          <w:b/>
          <w:bCs/>
          <w:color w:val="auto"/>
          <w:sz w:val="24"/>
          <w:szCs w:val="24"/>
          <w:u w:val="none"/>
        </w:rPr>
        <w:t>created.</w:t>
      </w:r>
    </w:p>
    <w:p w14:paraId="46526C5C" w14:textId="3F66715F" w:rsidR="00F046F8" w:rsidRDefault="003648A5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JSON:</w:t>
      </w:r>
    </w:p>
    <w:p w14:paraId="61CFE779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the data is valid JSON and the format of the device event is set to 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>, the device data is stored in the following format:</w:t>
      </w:r>
    </w:p>
    <w:p w14:paraId="7FEFEB70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</w:p>
    <w:p w14:paraId="322829C4" w14:textId="77777777" w:rsidR="00F95A93" w:rsidRDefault="00F95A93" w:rsidP="005D1C38">
      <w:pPr>
        <w:ind w:left="360"/>
        <w:rPr>
          <w:b/>
          <w:bCs/>
          <w:sz w:val="24"/>
          <w:szCs w:val="24"/>
        </w:rPr>
      </w:pPr>
    </w:p>
    <w:p w14:paraId="6313CCE7" w14:textId="77777777" w:rsidR="00F046F8" w:rsidRDefault="00F046F8" w:rsidP="005D1C38">
      <w:pPr>
        <w:ind w:left="360"/>
        <w:rPr>
          <w:b/>
          <w:bCs/>
          <w:sz w:val="24"/>
          <w:szCs w:val="24"/>
        </w:rPr>
      </w:pPr>
    </w:p>
    <w:p w14:paraId="6B6BFB6C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Bucket interval</w:t>
      </w:r>
    </w:p>
    <w:p w14:paraId="28994D94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proofErr w:type="spellStart"/>
      <w:r>
        <w:rPr>
          <w:b/>
          <w:bCs/>
          <w:sz w:val="24"/>
          <w:szCs w:val="24"/>
        </w:rPr>
        <w:t>bucketName</w:t>
      </w:r>
      <w:proofErr w:type="spellEnd"/>
      <w:r>
        <w:rPr>
          <w:b/>
          <w:bCs/>
          <w:sz w:val="24"/>
          <w:szCs w:val="24"/>
        </w:rPr>
        <w:t>} format</w:t>
      </w:r>
    </w:p>
    <w:p w14:paraId="1C41FD9C" w14:textId="280C0135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>-mm-</w:t>
      </w:r>
      <w:proofErr w:type="spellStart"/>
      <w:r>
        <w:rPr>
          <w:b/>
          <w:bCs/>
          <w:sz w:val="24"/>
          <w:szCs w:val="24"/>
        </w:rPr>
        <w:t>dd</w:t>
      </w:r>
      <w:proofErr w:type="spellEnd"/>
    </w:p>
    <w:p w14:paraId="2AAB1128" w14:textId="77777777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2019-07-06 for events on 6 July 2019.</w:t>
      </w:r>
    </w:p>
    <w:p w14:paraId="7FBDE9F1" w14:textId="77176E33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>-‘</w:t>
      </w:r>
      <w:proofErr w:type="spellStart"/>
      <w:r>
        <w:rPr>
          <w:b/>
          <w:bCs/>
          <w:sz w:val="24"/>
          <w:szCs w:val="24"/>
        </w:rPr>
        <w:t>w’ww</w:t>
      </w:r>
      <w:proofErr w:type="spellEnd"/>
    </w:p>
    <w:p w14:paraId="33C4CE85" w14:textId="4D1E32E2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‘</w:t>
      </w:r>
      <w:proofErr w:type="spellStart"/>
      <w:r>
        <w:rPr>
          <w:b/>
          <w:bCs/>
          <w:sz w:val="24"/>
          <w:szCs w:val="24"/>
        </w:rPr>
        <w:t>w’ww</w:t>
      </w:r>
      <w:proofErr w:type="spellEnd"/>
      <w:r>
        <w:rPr>
          <w:b/>
          <w:bCs/>
          <w:sz w:val="24"/>
          <w:szCs w:val="24"/>
        </w:rPr>
        <w:t xml:space="preserve"> indicates a week number. Example: 2019-w03 for events in the third week of 2019.</w:t>
      </w:r>
    </w:p>
    <w:p w14:paraId="2033837C" w14:textId="31EC843F" w:rsidR="00C820A2" w:rsidRDefault="00C820A2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Month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yyyy</w:t>
      </w:r>
      <w:proofErr w:type="spellEnd"/>
      <w:r>
        <w:rPr>
          <w:b/>
          <w:bCs/>
          <w:sz w:val="24"/>
          <w:szCs w:val="24"/>
        </w:rPr>
        <w:t>-mm Example: 2019-07 for events in July 2019.</w:t>
      </w:r>
    </w:p>
    <w:p w14:paraId="599A3AAE" w14:textId="0CC9FE3B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3C2AC8D1" w14:textId="5066DA48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4D0ECA0" w14:textId="2E128241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71BC012" w14:textId="1EA43ED2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E0AAE52" w14:textId="1ACE43D4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760CCCCA" w14:textId="64196B19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4F3F111" w14:textId="093BA976" w:rsidR="004B0594" w:rsidRDefault="00B734FD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naming schema</w:t>
      </w:r>
    </w:p>
    <w:p w14:paraId="50E0D175" w14:textId="77777777" w:rsidR="00B734FD" w:rsidRDefault="00B734FD" w:rsidP="005D1C38">
      <w:pPr>
        <w:ind w:left="360"/>
        <w:rPr>
          <w:b/>
          <w:bCs/>
          <w:sz w:val="24"/>
          <w:szCs w:val="24"/>
        </w:rPr>
      </w:pPr>
    </w:p>
    <w:p w14:paraId="0E7654BB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40C686AD" w14:textId="77777777" w:rsidR="00954C66" w:rsidRDefault="00954C66">
      <w:pPr>
        <w:pStyle w:val="NormalWeb"/>
        <w:shd w:val="clear" w:color="auto" w:fill="FFFFFF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 xml:space="preserve">The destination configuration determines how IBM Maximo Asset Monitor manages the databases in your </w:t>
      </w:r>
      <w:proofErr w:type="spellStart"/>
      <w:r>
        <w:rPr>
          <w:rFonts w:ascii="IBM Plex Sans" w:hAnsi="IBM Plex Sans"/>
          <w:color w:val="161616"/>
        </w:rPr>
        <w:t>Cloudant</w:t>
      </w:r>
      <w:proofErr w:type="spellEnd"/>
      <w:r>
        <w:rPr>
          <w:rFonts w:ascii="IBM Plex Sans" w:hAnsi="IBM Plex Sans"/>
          <w:color w:val="161616"/>
        </w:rPr>
        <w:t xml:space="preserve"> NoSQL DB account.</w:t>
      </w:r>
    </w:p>
    <w:p w14:paraId="1B296CD2" w14:textId="77777777" w:rsidR="00954C66" w:rsidRDefault="00954C66">
      <w:pPr>
        <w:pStyle w:val="NormalWeb"/>
        <w:shd w:val="clear" w:color="auto" w:fill="FFFFFF"/>
        <w:spacing w:before="0" w:after="0"/>
        <w:textAlignment w:val="baseline"/>
        <w:divId w:val="812988729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The database naming schema is as follows: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destinationName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}_{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</w:t>
      </w:r>
      <w:r>
        <w:rPr>
          <w:rFonts w:ascii="IBM Plex Sans" w:hAnsi="IBM Plex Sans"/>
          <w:color w:val="161616"/>
        </w:rPr>
        <w:t>, with </w:t>
      </w:r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{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bucketName</w:t>
      </w:r>
      <w:proofErr w:type="spellEnd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}</w:t>
      </w:r>
      <w:r>
        <w:rPr>
          <w:rFonts w:ascii="IBM Plex Sans" w:hAnsi="IBM Plex Sans"/>
          <w:color w:val="161616"/>
        </w:rPr>
        <w:t> determined by your choice of </w:t>
      </w:r>
      <w:proofErr w:type="spellStart"/>
      <w:r>
        <w:rPr>
          <w:rStyle w:val="HTMLCode"/>
          <w:rFonts w:ascii="IBM Plex Mono" w:hAnsi="IBM Plex Mono"/>
          <w:color w:val="161616"/>
          <w:bdr w:val="none" w:sz="0" w:space="0" w:color="auto" w:frame="1"/>
        </w:rPr>
        <w:t>bucketInterval</w:t>
      </w:r>
      <w:proofErr w:type="spellEnd"/>
      <w:r>
        <w:rPr>
          <w:rFonts w:ascii="IBM Plex Sans" w:hAnsi="IBM Plex Sans"/>
          <w:color w:val="161616"/>
        </w:rPr>
        <w:t> when you </w:t>
      </w:r>
      <w:hyperlink r:id="rId5" w:anchor="destination" w:history="1"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 xml:space="preserve">configure the </w:t>
        </w:r>
        <w:proofErr w:type="spellStart"/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>Cloudant</w:t>
        </w:r>
        <w:proofErr w:type="spellEnd"/>
        <w:r>
          <w:rPr>
            <w:rStyle w:val="Hyperlink"/>
            <w:rFonts w:ascii="inherit" w:hAnsi="inherit"/>
            <w:color w:val="0F62FE"/>
            <w:bdr w:val="none" w:sz="0" w:space="0" w:color="auto" w:frame="1"/>
          </w:rPr>
          <w:t xml:space="preserve"> NoSQL DB destination</w:t>
        </w:r>
      </w:hyperlink>
      <w:r>
        <w:rPr>
          <w:rFonts w:ascii="IBM Plex Sans" w:hAnsi="IBM Plex Sans"/>
          <w:color w:val="161616"/>
        </w:rPr>
        <w:t>:</w:t>
      </w:r>
    </w:p>
    <w:p w14:paraId="667C56D5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10ED1C64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4F7AD7EF" w14:textId="77777777" w:rsidR="004B0594" w:rsidRDefault="004B0594" w:rsidP="005D1C38">
      <w:pPr>
        <w:ind w:left="360"/>
        <w:rPr>
          <w:b/>
          <w:bCs/>
          <w:sz w:val="24"/>
          <w:szCs w:val="24"/>
        </w:rPr>
      </w:pPr>
    </w:p>
    <w:p w14:paraId="55B08939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Configuration</w:t>
      </w:r>
    </w:p>
    <w:p w14:paraId="708D36BB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By using the Python SDK, you can set up a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 binding in just a few lines of code. For more information about how to get your </w:t>
      </w:r>
      <w:proofErr w:type="spellStart"/>
      <w:r>
        <w:rPr>
          <w:b/>
          <w:bCs/>
          <w:sz w:val="24"/>
          <w:szCs w:val="24"/>
        </w:rPr>
        <w:t>IoT</w:t>
      </w:r>
      <w:proofErr w:type="spellEnd"/>
      <w:r>
        <w:rPr>
          <w:b/>
          <w:bCs/>
          <w:sz w:val="24"/>
          <w:szCs w:val="24"/>
        </w:rPr>
        <w:t xml:space="preserve"> data forwarded to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DB, see the Python SDK documentation for DSC.</w:t>
      </w:r>
    </w:p>
    <w:p w14:paraId="74799AC4" w14:textId="77777777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783354B3" w14:textId="64454ED6" w:rsidR="0055480E" w:rsidRDefault="0055480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p w14:paraId="51EE52AA" w14:textId="3EE62551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1E325AF0" w14:textId="0CD759BF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3C9A9C79" w14:textId="1271AE9E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2E44A304" w14:textId="1A2E8C19" w:rsidR="0055480E" w:rsidRDefault="0055480E" w:rsidP="005D1C38">
      <w:pPr>
        <w:ind w:left="360"/>
        <w:rPr>
          <w:b/>
          <w:bCs/>
          <w:sz w:val="24"/>
          <w:szCs w:val="24"/>
        </w:rPr>
      </w:pPr>
    </w:p>
    <w:p w14:paraId="2277ADBB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Set up the service binding</w:t>
      </w:r>
    </w:p>
    <w:p w14:paraId="6450AD02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configure a service binding to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DB, you need the following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 information:</w:t>
      </w:r>
    </w:p>
    <w:p w14:paraId="060A09E9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</w:p>
    <w:p w14:paraId="4A2ADD80" w14:textId="602297A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Username</w:t>
      </w:r>
    </w:p>
    <w:p w14:paraId="698057A1" w14:textId="48A8CF2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</w:t>
      </w:r>
    </w:p>
    <w:p w14:paraId="7BAEBD69" w14:textId="5498DB4C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</w:t>
      </w:r>
    </w:p>
    <w:p w14:paraId="79A563FF" w14:textId="35EF71FC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</w:t>
      </w:r>
    </w:p>
    <w:p w14:paraId="58FA1B68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With this information, you can call the API to create a new </w:t>
      </w:r>
      <w:proofErr w:type="spellStart"/>
      <w:r>
        <w:rPr>
          <w:b/>
          <w:bCs/>
          <w:sz w:val="24"/>
          <w:szCs w:val="24"/>
        </w:rPr>
        <w:t>Cloudant</w:t>
      </w:r>
      <w:proofErr w:type="spellEnd"/>
      <w:r>
        <w:rPr>
          <w:b/>
          <w:bCs/>
          <w:sz w:val="24"/>
          <w:szCs w:val="24"/>
        </w:rPr>
        <w:t xml:space="preserve"> NoSQL DB service binding.</w:t>
      </w:r>
    </w:p>
    <w:p w14:paraId="0DFA42AB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</w:p>
    <w:p w14:paraId="54DC6473" w14:textId="77777777" w:rsidR="000A6523" w:rsidRDefault="000A6523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When the service binding completes, a </w:t>
      </w:r>
      <w:proofErr w:type="spellStart"/>
      <w:r>
        <w:rPr>
          <w:b/>
          <w:bCs/>
          <w:sz w:val="24"/>
          <w:szCs w:val="24"/>
        </w:rPr>
        <w:t>serviceId</w:t>
      </w:r>
      <w:proofErr w:type="spellEnd"/>
      <w:r>
        <w:rPr>
          <w:b/>
          <w:bCs/>
          <w:sz w:val="24"/>
          <w:szCs w:val="24"/>
        </w:rPr>
        <w:t xml:space="preserve"> is returned. You need this 36 character UUID when you set up the connector instance.</w:t>
      </w:r>
    </w:p>
    <w:p w14:paraId="58162CC6" w14:textId="55ECDCC7" w:rsidR="003648A5" w:rsidRDefault="004B0594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data</w:t>
      </w:r>
      <w:r w:rsidR="00181E3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D033C2" wp14:editId="3F1F36AE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5010150" cy="4876800"/>
            <wp:effectExtent l="228600" t="228600" r="228600" b="22860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768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ADEB234" w14:textId="56AF4B68" w:rsidR="003765BA" w:rsidRDefault="009E514E" w:rsidP="005D1C3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Device data is stored in a database either as JSON or as base64 depending on the data type.</w:t>
      </w:r>
    </w:p>
    <w:p w14:paraId="68288927" w14:textId="243A80B2" w:rsidR="005D1C38" w:rsidRPr="005D1C38" w:rsidRDefault="007C03E6" w:rsidP="005D1C3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B2768" wp14:editId="294A40B7">
            <wp:simplePos x="0" y="0"/>
            <wp:positionH relativeFrom="column">
              <wp:posOffset>-149225</wp:posOffset>
            </wp:positionH>
            <wp:positionV relativeFrom="paragraph">
              <wp:posOffset>3023870</wp:posOffset>
            </wp:positionV>
            <wp:extent cx="5438775" cy="5972175"/>
            <wp:effectExtent l="228600" t="228600" r="238125" b="2381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972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F431522" w14:textId="77777777" w:rsidR="00DF064C" w:rsidRDefault="00DF064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Device data that is not valid JSON or where the format is not set to json is stored as a base64 encoded strings under the payload field in the following format:</w:t>
      </w:r>
    </w:p>
    <w:p w14:paraId="2B8EB43C" w14:textId="77777777" w:rsidR="00DF064C" w:rsidRDefault="00DF064C" w:rsidP="00B84A22">
      <w:pPr>
        <w:rPr>
          <w:noProof/>
          <w:sz w:val="24"/>
          <w:szCs w:val="24"/>
        </w:rPr>
      </w:pPr>
    </w:p>
    <w:p w14:paraId="1CA53771" w14:textId="77777777" w:rsidR="00DF064C" w:rsidRDefault="00DF064C" w:rsidP="00B84A22">
      <w:pPr>
        <w:rPr>
          <w:noProof/>
          <w:sz w:val="24"/>
          <w:szCs w:val="24"/>
        </w:rPr>
      </w:pPr>
    </w:p>
    <w:p w14:paraId="6148593E" w14:textId="31F78B16" w:rsidR="003C4A8E" w:rsidRDefault="008A2B8E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You can also use the following code sample to configure two destinations and forwarding rules to ensure that all events and all states are forwarded.</w:t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7FC1"/>
    <w:multiLevelType w:val="hybridMultilevel"/>
    <w:tmpl w:val="B170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3595F"/>
    <w:rsid w:val="00062737"/>
    <w:rsid w:val="000A255E"/>
    <w:rsid w:val="000A6523"/>
    <w:rsid w:val="000C5B0A"/>
    <w:rsid w:val="001519F9"/>
    <w:rsid w:val="00181E3E"/>
    <w:rsid w:val="001860FA"/>
    <w:rsid w:val="00213958"/>
    <w:rsid w:val="00241338"/>
    <w:rsid w:val="002917BF"/>
    <w:rsid w:val="003226ED"/>
    <w:rsid w:val="003364C9"/>
    <w:rsid w:val="003648A5"/>
    <w:rsid w:val="003765BA"/>
    <w:rsid w:val="003C4A8E"/>
    <w:rsid w:val="003E3A16"/>
    <w:rsid w:val="00441E38"/>
    <w:rsid w:val="004662CA"/>
    <w:rsid w:val="004B0594"/>
    <w:rsid w:val="004F3ECC"/>
    <w:rsid w:val="005506D3"/>
    <w:rsid w:val="0055480E"/>
    <w:rsid w:val="005B2106"/>
    <w:rsid w:val="005B25F6"/>
    <w:rsid w:val="005D1C38"/>
    <w:rsid w:val="006016FC"/>
    <w:rsid w:val="006D1E21"/>
    <w:rsid w:val="00706D33"/>
    <w:rsid w:val="00721C60"/>
    <w:rsid w:val="007517F6"/>
    <w:rsid w:val="00754B5C"/>
    <w:rsid w:val="007569FA"/>
    <w:rsid w:val="007A3AE5"/>
    <w:rsid w:val="007C03E6"/>
    <w:rsid w:val="007C061D"/>
    <w:rsid w:val="008063D1"/>
    <w:rsid w:val="00813443"/>
    <w:rsid w:val="00850D21"/>
    <w:rsid w:val="00857272"/>
    <w:rsid w:val="008A2B8E"/>
    <w:rsid w:val="008B254D"/>
    <w:rsid w:val="008D4A5B"/>
    <w:rsid w:val="008E498D"/>
    <w:rsid w:val="00954C66"/>
    <w:rsid w:val="00973A78"/>
    <w:rsid w:val="009A2D61"/>
    <w:rsid w:val="009D3AA0"/>
    <w:rsid w:val="009E251E"/>
    <w:rsid w:val="009E514E"/>
    <w:rsid w:val="00A20004"/>
    <w:rsid w:val="00A41689"/>
    <w:rsid w:val="00AC7F0A"/>
    <w:rsid w:val="00AD4C7F"/>
    <w:rsid w:val="00B734FD"/>
    <w:rsid w:val="00B84A22"/>
    <w:rsid w:val="00C13A6C"/>
    <w:rsid w:val="00C369F6"/>
    <w:rsid w:val="00C47274"/>
    <w:rsid w:val="00C820A2"/>
    <w:rsid w:val="00C843D6"/>
    <w:rsid w:val="00CF72BE"/>
    <w:rsid w:val="00DB0D8B"/>
    <w:rsid w:val="00DB6A25"/>
    <w:rsid w:val="00DF064C"/>
    <w:rsid w:val="00F046F8"/>
    <w:rsid w:val="00F95A93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519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C6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www.ibm.com/docs/en/mapms/1_cloud?topic=connectors-data-store-connector-cloudant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2022-10-15T14:09:00Z</dcterms:created>
  <dcterms:modified xsi:type="dcterms:W3CDTF">2022-10-15T14:09:00Z</dcterms:modified>
</cp:coreProperties>
</file>