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6DCB" w14:textId="77777777" w:rsidR="00A44CB8" w:rsidRPr="004E0BF5" w:rsidRDefault="003268C6" w:rsidP="00FA1AC4">
      <w:pPr>
        <w:spacing w:after="80"/>
        <w:jc w:val="center"/>
        <w:rPr>
          <w:rFonts w:asciiTheme="minorBidi" w:hAnsiTheme="minorBidi"/>
          <w:color w:val="000000" w:themeColor="text1"/>
        </w:rPr>
      </w:pPr>
      <w:r w:rsidRPr="004E0BF5">
        <w:rPr>
          <w:rFonts w:asciiTheme="minorBidi" w:hAnsiTheme="minorBidi"/>
          <w:b/>
          <w:color w:val="000000" w:themeColor="text1"/>
          <w:sz w:val="44"/>
        </w:rPr>
        <w:t>JEAN: Joint Epigenetic Analysis of Nanopore</w:t>
      </w:r>
    </w:p>
    <w:p w14:paraId="63C60745" w14:textId="77777777" w:rsidR="00A44CB8" w:rsidRPr="004E0BF5" w:rsidRDefault="003268C6" w:rsidP="00FA1AC4">
      <w:pPr>
        <w:spacing w:after="320"/>
        <w:jc w:val="both"/>
        <w:rPr>
          <w:rFonts w:asciiTheme="minorBidi" w:hAnsiTheme="minorBidi"/>
          <w:color w:val="000000" w:themeColor="text1"/>
        </w:rPr>
      </w:pPr>
      <w:r w:rsidRPr="004E0BF5">
        <w:rPr>
          <w:rFonts w:asciiTheme="minorBidi" w:hAnsiTheme="minorBidi"/>
          <w:i/>
          <w:color w:val="000000" w:themeColor="text1"/>
          <w:sz w:val="24"/>
        </w:rPr>
        <w:t>A Signal-Anchored Framework for Direct Nucleic Acid Base Modification Calling and Biophysical Acylation Competency Profiling</w:t>
      </w:r>
    </w:p>
    <w:p w14:paraId="3F11CC17" w14:textId="77777777" w:rsidR="00A44CB8" w:rsidRPr="004E0BF5" w:rsidRDefault="003268C6" w:rsidP="00FA1AC4">
      <w:pPr>
        <w:spacing w:after="280"/>
        <w:jc w:val="both"/>
        <w:rPr>
          <w:rFonts w:asciiTheme="minorBidi" w:hAnsiTheme="minorBidi"/>
          <w:color w:val="000000" w:themeColor="text1"/>
        </w:rPr>
      </w:pPr>
      <w:r w:rsidRPr="004E0BF5">
        <w:rPr>
          <w:rFonts w:asciiTheme="minorBidi" w:hAnsiTheme="minorBidi"/>
          <w:b/>
          <w:color w:val="000000" w:themeColor="text1"/>
        </w:rPr>
        <w:t xml:space="preserve">Web Application: </w:t>
      </w:r>
      <w:r w:rsidRPr="004E0BF5">
        <w:rPr>
          <w:rFonts w:asciiTheme="minorBidi" w:hAnsiTheme="minorBidi"/>
          <w:color w:val="000000" w:themeColor="text1"/>
        </w:rPr>
        <w:t xml:space="preserve">https://jean-v2-0.netlify.app/ | </w:t>
      </w:r>
      <w:r w:rsidRPr="004E0BF5">
        <w:rPr>
          <w:rFonts w:asciiTheme="minorBidi" w:hAnsiTheme="minorBidi"/>
          <w:b/>
          <w:color w:val="000000" w:themeColor="text1"/>
        </w:rPr>
        <w:t xml:space="preserve">Source Repository: </w:t>
      </w:r>
      <w:r w:rsidRPr="004E0BF5">
        <w:rPr>
          <w:rFonts w:asciiTheme="minorBidi" w:hAnsiTheme="minorBidi"/>
          <w:color w:val="000000" w:themeColor="text1"/>
        </w:rPr>
        <w:t>https://github.com/amrgalalibrahim/JEAN-Joint-Epigenetic-Analysis-of-Nanopore</w:t>
      </w:r>
      <w:r w:rsidRPr="004E0BF5">
        <w:rPr>
          <w:rFonts w:asciiTheme="minorBidi" w:hAnsiTheme="minorBidi"/>
          <w:color w:val="000000" w:themeColor="text1"/>
        </w:rPr>
        <w:br/>
      </w:r>
      <w:r w:rsidRPr="004E0BF5">
        <w:rPr>
          <w:rFonts w:asciiTheme="minorBidi" w:hAnsiTheme="minorBidi"/>
          <w:b/>
          <w:color w:val="000000" w:themeColor="text1"/>
        </w:rPr>
        <w:t xml:space="preserve">Primary Reference: </w:t>
      </w:r>
      <w:r w:rsidRPr="004E0BF5">
        <w:rPr>
          <w:rFonts w:asciiTheme="minorBidi" w:hAnsiTheme="minorBidi"/>
          <w:color w:val="000000" w:themeColor="text1"/>
        </w:rPr>
        <w:t>Ibrahim AGA, Adriano EA. JEAN: Joint Epigenetic Analysis of Nanopore pipeline for detecting methylation, acetylation and lactylation. Authorea (2025). doi:10.22541/au.176150718.81665285/v1</w:t>
      </w:r>
    </w:p>
    <w:p w14:paraId="28CF6905"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1. Overview &amp; Conceptual Rationale</w:t>
      </w:r>
    </w:p>
    <w:p w14:paraId="0722AB6A" w14:textId="77777777" w:rsidR="00884D30" w:rsidRDefault="003268C6" w:rsidP="00FA1AC4">
      <w:pPr>
        <w:jc w:val="both"/>
        <w:rPr>
          <w:rFonts w:asciiTheme="minorBidi" w:hAnsiTheme="minorBidi"/>
          <w:color w:val="000000" w:themeColor="text1"/>
        </w:rPr>
      </w:pPr>
      <w:r w:rsidRPr="004E0BF5">
        <w:rPr>
          <w:rFonts w:asciiTheme="minorBidi" w:hAnsiTheme="minorBidi"/>
          <w:color w:val="000000" w:themeColor="text1"/>
        </w:rPr>
        <w:t>JEAN (Joint Epigenetic Analysis of Nanopore) is a specialized bioinformatics framework engineered to exploit the raw biophysical signal records generated during Oxford Nanopore Technologies (ONT) direct sequencing. Traditional sequencing pipelines routinely collapse raw electrical recordings into discrete textual nucleotide strings, permanently discarding rich physical-chemical information. JEAN bridges this gap by directly consuming raw ionic current records, translocation dwell-time deviations, and electrochemical energy terms to deliver two rigorous analytical capabilities:</w:t>
      </w:r>
      <w:r w:rsidR="00503720">
        <w:rPr>
          <w:rFonts w:asciiTheme="minorBidi" w:hAnsiTheme="minorBidi"/>
          <w:color w:val="000000" w:themeColor="text1"/>
        </w:rPr>
        <w:t xml:space="preserve"> </w:t>
      </w:r>
    </w:p>
    <w:p w14:paraId="08A61022" w14:textId="1D50EB6E" w:rsidR="008261C5" w:rsidRDefault="003268C6" w:rsidP="00FA1AC4">
      <w:pPr>
        <w:jc w:val="both"/>
        <w:rPr>
          <w:rFonts w:asciiTheme="minorBidi" w:hAnsiTheme="minorBidi"/>
          <w:color w:val="000000" w:themeColor="text1"/>
        </w:rPr>
      </w:pPr>
      <w:r w:rsidRPr="004E0BF5">
        <w:rPr>
          <w:rFonts w:asciiTheme="minorBidi" w:hAnsiTheme="minorBidi"/>
          <w:color w:val="000000" w:themeColor="text1"/>
        </w:rPr>
        <w:t>1. Direct, single-nucleotide resolution measurement of DNA base modifications (5mC, 5hmC, and 6mA).</w:t>
      </w:r>
    </w:p>
    <w:p w14:paraId="37FCB66A" w14:textId="57F004F4"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rPr>
        <w:t>2. Signal-anchored identification of genomic positions competent to associate with downstream chromatin acylation marks (lysine lactylation and acetylation).</w:t>
      </w:r>
    </w:p>
    <w:p w14:paraId="2023221C" w14:textId="6356AFD5" w:rsidR="00FA1AC4" w:rsidRPr="00B21703" w:rsidRDefault="00FA1AC4" w:rsidP="00FA1AC4">
      <w:pPr>
        <w:jc w:val="both"/>
        <w:rPr>
          <w:rFonts w:asciiTheme="minorBidi" w:hAnsiTheme="minorBidi"/>
          <w:b/>
        </w:rPr>
      </w:pPr>
      <w:r w:rsidRPr="00B21703">
        <w:rPr>
          <w:rFonts w:asciiTheme="minorBidi" w:hAnsiTheme="minorBidi"/>
          <w:b/>
        </w:rPr>
        <w:t>Crucial Methodological Distinction for Users:</w:t>
      </w:r>
    </w:p>
    <w:p w14:paraId="7CBDBEA6" w14:textId="01EC2B8C" w:rsidR="00A44CB8" w:rsidRPr="00B21703" w:rsidRDefault="00FA1AC4" w:rsidP="00FA1AC4">
      <w:pPr>
        <w:spacing w:after="160"/>
        <w:jc w:val="both"/>
        <w:rPr>
          <w:rFonts w:asciiTheme="minorBidi" w:hAnsiTheme="minorBidi"/>
          <w:bCs/>
        </w:rPr>
      </w:pPr>
      <w:r w:rsidRPr="00B21703">
        <w:rPr>
          <w:rFonts w:asciiTheme="minorBidi" w:hAnsiTheme="minorBidi"/>
          <w:b/>
        </w:rPr>
        <w:br/>
      </w:r>
      <w:r w:rsidR="00B721F1" w:rsidRPr="00B21703">
        <w:rPr>
          <w:rFonts w:asciiTheme="minorBidi" w:hAnsiTheme="minorBidi"/>
          <w:bCs/>
        </w:rPr>
        <w:t>ONT</w:t>
      </w:r>
      <w:r w:rsidR="005B6A0B" w:rsidRPr="00B21703">
        <w:rPr>
          <w:rFonts w:asciiTheme="minorBidi" w:hAnsiTheme="minorBidi"/>
          <w:bCs/>
        </w:rPr>
        <w:t xml:space="preserve"> </w:t>
      </w:r>
      <w:r w:rsidRPr="00B21703">
        <w:rPr>
          <w:rFonts w:asciiTheme="minorBidi" w:hAnsiTheme="minorBidi"/>
          <w:bCs/>
        </w:rPr>
        <w:t xml:space="preserve">sequencers physically interrogate naked nucleic acid strands </w:t>
      </w:r>
      <w:r w:rsidR="002C1E8C" w:rsidRPr="00B21703">
        <w:rPr>
          <w:rFonts w:asciiTheme="minorBidi" w:hAnsiTheme="minorBidi"/>
          <w:bCs/>
        </w:rPr>
        <w:t xml:space="preserve">as they translocate </w:t>
      </w:r>
      <w:r w:rsidRPr="00B21703">
        <w:rPr>
          <w:rFonts w:asciiTheme="minorBidi" w:hAnsiTheme="minorBidi"/>
          <w:bCs/>
        </w:rPr>
        <w:t xml:space="preserve">through </w:t>
      </w:r>
      <w:r w:rsidR="00E35CB4" w:rsidRPr="00B21703">
        <w:rPr>
          <w:rFonts w:asciiTheme="minorBidi" w:hAnsiTheme="minorBidi"/>
          <w:bCs/>
        </w:rPr>
        <w:t>nano</w:t>
      </w:r>
      <w:r w:rsidRPr="00B21703">
        <w:rPr>
          <w:rFonts w:asciiTheme="minorBidi" w:hAnsiTheme="minorBidi"/>
          <w:bCs/>
        </w:rPr>
        <w:t>pores. JEAN reports genuine physical measurements for DNA base modifications (5mC/5hmC/6mA). For lysine lactylation and acetylation, JEAN identifies signal-validated genomic competency</w:t>
      </w:r>
      <w:r w:rsidR="004D7504" w:rsidRPr="00B21703">
        <w:rPr>
          <w:rFonts w:asciiTheme="minorBidi" w:hAnsiTheme="minorBidi"/>
          <w:bCs/>
        </w:rPr>
        <w:t xml:space="preserve"> </w:t>
      </w:r>
      <w:r w:rsidRPr="00B21703">
        <w:rPr>
          <w:rFonts w:asciiTheme="minorBidi" w:hAnsiTheme="minorBidi"/>
          <w:bCs/>
        </w:rPr>
        <w:t xml:space="preserve">detecting physical-chemical alterations and dwell-time lags along the DNA strand that correlate with modified chromatin domains, benchmarked against curated literature motifs. </w:t>
      </w:r>
    </w:p>
    <w:p w14:paraId="1647E323"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2. Input Architecture &amp; Requirements</w:t>
      </w:r>
    </w:p>
    <w:p w14:paraId="5EE180DE" w14:textId="77777777" w:rsidR="00A44CB8" w:rsidRPr="004E0BF5" w:rsidRDefault="003268C6" w:rsidP="00FA1AC4">
      <w:pPr>
        <w:spacing w:after="120"/>
        <w:jc w:val="both"/>
        <w:rPr>
          <w:rFonts w:asciiTheme="minorBidi" w:hAnsiTheme="minorBidi"/>
          <w:color w:val="000000" w:themeColor="text1"/>
        </w:rPr>
      </w:pPr>
      <w:r w:rsidRPr="004E0BF5">
        <w:rPr>
          <w:rFonts w:asciiTheme="minorBidi" w:hAnsiTheme="minorBidi"/>
          <w:color w:val="000000" w:themeColor="text1"/>
        </w:rPr>
        <w:t>JEAN operates as an independent, standalone pipeline. It consumes three core data files and does not depend on any upstream machine-learning prediction software:</w:t>
      </w:r>
    </w:p>
    <w:p w14:paraId="0C19A59C"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Processed Raw Sequencing Files (FASTQ / FASTA / SAM):</w:t>
      </w:r>
      <w:r w:rsidRPr="004E0BF5">
        <w:rPr>
          <w:rFonts w:asciiTheme="minorBidi" w:hAnsiTheme="minorBidi"/>
          <w:color w:val="000000" w:themeColor="text1"/>
        </w:rPr>
        <w:t xml:space="preserve"> ONT sequencing outputs containing per-read base modification tags (MM/ML tags written during Dorado/Guppy basecalling). Supported file sizes extend up to 16 GB via high-performance chunked reading </w:t>
      </w:r>
      <w:r w:rsidRPr="004E0BF5">
        <w:rPr>
          <w:rFonts w:asciiTheme="minorBidi" w:hAnsiTheme="minorBidi"/>
          <w:color w:val="000000" w:themeColor="text1"/>
        </w:rPr>
        <w:lastRenderedPageBreak/>
        <w:t>(64 MB streaming blocks). Default QC filtering enforces minimum Q-score &gt;= 7 and minimum read length &gt;= 500 bp.</w:t>
      </w:r>
    </w:p>
    <w:p w14:paraId="4EF306CC"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6mA Call File:</w:t>
      </w:r>
      <w:r w:rsidRPr="004E0BF5">
        <w:rPr>
          <w:rFonts w:asciiTheme="minorBidi" w:hAnsiTheme="minorBidi"/>
          <w:color w:val="000000" w:themeColor="text1"/>
        </w:rPr>
        <w:t xml:space="preserve"> Tabulated assembly-wide genomic positions called for N6-methyladenine. This file establishes the adenine modification channel and provides the matched unmodified baseline background against which candidate loci are statistically evaluated.</w:t>
      </w:r>
    </w:p>
    <w:p w14:paraId="5C5891A1"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Electrochemical Energy File:</w:t>
      </w:r>
      <w:r w:rsidRPr="004E0BF5">
        <w:rPr>
          <w:rFonts w:asciiTheme="minorBidi" w:hAnsiTheme="minorBidi"/>
          <w:color w:val="000000" w:themeColor="text1"/>
        </w:rPr>
        <w:t xml:space="preserve"> High-resolution per-position record capturing ionic current amplitude (pA), translocation dwell times (seconds), and derived thermodynamic/kinetic parameters: Gibbs free energy (ΔG), activation energy (Ea), reaction rate, equilibrium constant, and diffusion coefficient.</w:t>
      </w:r>
    </w:p>
    <w:p w14:paraId="4CD7BF4E"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3. Algorithmic Workflow (Five-Stage Architecture)</w:t>
      </w:r>
    </w:p>
    <w:p w14:paraId="0BD2E9CF"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Stage 1: Ingestion &amp; Quality Control (Housekeeping):</w:t>
      </w:r>
      <w:r w:rsidRPr="004E0BF5">
        <w:rPr>
          <w:rFonts w:asciiTheme="minorBidi" w:hAnsiTheme="minorBidi"/>
          <w:color w:val="000000" w:themeColor="text1"/>
        </w:rPr>
        <w:t xml:space="preserve"> Efficient chunked reading of sequencing files; validation of file headers, coordinate mapping integrity, and enforcement of rigorous read-level filters (Q &gt;= 7, read length &gt;= 500 bp).</w:t>
      </w:r>
    </w:p>
    <w:p w14:paraId="35604ED7"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Stage 2: Direct Nucleic Acid Base Modification Calling (Direct Measurement):</w:t>
      </w:r>
      <w:r w:rsidRPr="004E0BF5">
        <w:rPr>
          <w:rFonts w:asciiTheme="minorBidi" w:hAnsiTheme="minorBidi"/>
          <w:color w:val="000000" w:themeColor="text1"/>
        </w:rPr>
        <w:t xml:space="preserve"> Direct extraction of 5-methylcytosine (5mC), 5-hydroxymethylcytosine (5hmC), and N6-methyladenine (6mA) using raw current deflections and dwell-time traces anchored by MM/ML tags. Contextual motifs (CpG, CHG, CHH) are assigned alongside a strict per-site confidence score (nominal threshold &gt;= 0.5; typical empirical confidence ~0.95).</w:t>
      </w:r>
    </w:p>
    <w:p w14:paraId="4ABD6120"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Stage 3: Sequence Context Scoring (Position-Specific Scoring Matrix):</w:t>
      </w:r>
      <w:r w:rsidRPr="004E0BF5">
        <w:rPr>
          <w:rFonts w:asciiTheme="minorBidi" w:hAnsiTheme="minorBidi"/>
          <w:color w:val="000000" w:themeColor="text1"/>
        </w:rPr>
        <w:t xml:space="preserve"> Translates genomic reading frames and positions a +/-7-residue window (15 aa total) centered on each candidate lysine (K). Scoring is calculated via a curated PSSM matrix derived from experimentally validated lactylation and acetylation sites across literature, normalized (z-score), and sigmoid-transformed to a [0, 1] probability scale.</w:t>
      </w:r>
    </w:p>
    <w:p w14:paraId="5E43EC5A"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Stage 4: Biophysical &amp; Electrochemical Characterisation (Inference on Measured Signal):</w:t>
      </w:r>
      <w:r w:rsidRPr="004E0BF5">
        <w:rPr>
          <w:rFonts w:asciiTheme="minorBidi" w:hAnsiTheme="minorBidi"/>
          <w:color w:val="000000" w:themeColor="text1"/>
        </w:rPr>
        <w:t xml:space="preserve"> Queries the matched per-position electrochemical record. Extracts ionic current amplitude deviations and peak-dwell time delays (dwell-time lags). Tests whether the observed local physical signal exhibits statistically significant departure from the unmodified baseline.</w:t>
      </w:r>
    </w:p>
    <w:p w14:paraId="6ECF2FD4"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Stage 5: Concordance Filtering, Reporting &amp; Export:</w:t>
      </w:r>
      <w:r w:rsidRPr="004E0BF5">
        <w:rPr>
          <w:rFonts w:asciiTheme="minorBidi" w:hAnsiTheme="minorBidi"/>
          <w:color w:val="000000" w:themeColor="text1"/>
        </w:rPr>
        <w:t xml:space="preserve"> Sites are reported if and only if Filter A (sequence motif score &gt;= 0.5) and Filter B (electrochemical/dwell-lag departure test) agree. This strict dual-filter concordance drastically reduces false discoveries compared to sequence-only predictors.</w:t>
      </w:r>
    </w:p>
    <w:p w14:paraId="1D6AD0E1"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4. Parametric Biophysical Signatures</w:t>
      </w:r>
    </w:p>
    <w:p w14:paraId="25DBFAC4" w14:textId="77777777" w:rsidR="00A44CB8" w:rsidRPr="004E0BF5" w:rsidRDefault="003268C6" w:rsidP="00FA1AC4">
      <w:pPr>
        <w:spacing w:after="120"/>
        <w:jc w:val="both"/>
        <w:rPr>
          <w:rFonts w:asciiTheme="minorBidi" w:hAnsiTheme="minorBidi"/>
          <w:color w:val="000000" w:themeColor="text1"/>
        </w:rPr>
      </w:pPr>
      <w:r w:rsidRPr="004E0BF5">
        <w:rPr>
          <w:rFonts w:asciiTheme="minorBidi" w:hAnsiTheme="minorBidi"/>
          <w:color w:val="000000" w:themeColor="text1"/>
        </w:rPr>
        <w:t>Empirical and modelled parameters implemented in JEAN for signal discrimination:</w:t>
      </w:r>
    </w:p>
    <w:tbl>
      <w:tblPr>
        <w:tblW w:w="0" w:type="auto"/>
        <w:jc w:val="center"/>
        <w:tblLook w:val="04A0" w:firstRow="1" w:lastRow="0" w:firstColumn="1" w:lastColumn="0" w:noHBand="0" w:noVBand="1"/>
      </w:tblPr>
      <w:tblGrid>
        <w:gridCol w:w="1872"/>
        <w:gridCol w:w="1872"/>
        <w:gridCol w:w="1872"/>
        <w:gridCol w:w="1872"/>
        <w:gridCol w:w="1872"/>
      </w:tblGrid>
      <w:tr w:rsidR="00A44CB8" w:rsidRPr="004E0BF5" w14:paraId="4DF2BC1F" w14:textId="77777777">
        <w:trPr>
          <w:jc w:val="center"/>
        </w:trPr>
        <w:tc>
          <w:tcPr>
            <w:tcW w:w="1872" w:type="dxa"/>
            <w:shd w:val="clear" w:color="auto" w:fill="1B365D"/>
            <w:tcMar>
              <w:top w:w="120" w:type="dxa"/>
              <w:left w:w="100" w:type="dxa"/>
              <w:bottom w:w="120" w:type="dxa"/>
              <w:right w:w="100" w:type="dxa"/>
            </w:tcMar>
          </w:tcPr>
          <w:p w14:paraId="032FFF6F"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b/>
                <w:color w:val="000000" w:themeColor="text1"/>
                <w:sz w:val="19"/>
              </w:rPr>
              <w:t>Modification Class</w:t>
            </w:r>
          </w:p>
        </w:tc>
        <w:tc>
          <w:tcPr>
            <w:tcW w:w="1872" w:type="dxa"/>
            <w:shd w:val="clear" w:color="auto" w:fill="1B365D"/>
            <w:tcMar>
              <w:top w:w="120" w:type="dxa"/>
              <w:left w:w="100" w:type="dxa"/>
              <w:bottom w:w="120" w:type="dxa"/>
              <w:right w:w="100" w:type="dxa"/>
            </w:tcMar>
          </w:tcPr>
          <w:p w14:paraId="6366EAB6"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b/>
                <w:color w:val="000000" w:themeColor="text1"/>
                <w:sz w:val="19"/>
              </w:rPr>
              <w:t>Current Amplitude Shift</w:t>
            </w:r>
          </w:p>
        </w:tc>
        <w:tc>
          <w:tcPr>
            <w:tcW w:w="1872" w:type="dxa"/>
            <w:shd w:val="clear" w:color="auto" w:fill="1B365D"/>
            <w:tcMar>
              <w:top w:w="120" w:type="dxa"/>
              <w:left w:w="100" w:type="dxa"/>
              <w:bottom w:w="120" w:type="dxa"/>
              <w:right w:w="100" w:type="dxa"/>
            </w:tcMar>
          </w:tcPr>
          <w:p w14:paraId="7E473A75"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b/>
                <w:color w:val="000000" w:themeColor="text1"/>
                <w:sz w:val="19"/>
              </w:rPr>
              <w:t>Translocation Dwell Time</w:t>
            </w:r>
          </w:p>
        </w:tc>
        <w:tc>
          <w:tcPr>
            <w:tcW w:w="1872" w:type="dxa"/>
            <w:shd w:val="clear" w:color="auto" w:fill="1B365D"/>
            <w:tcMar>
              <w:top w:w="120" w:type="dxa"/>
              <w:left w:w="100" w:type="dxa"/>
              <w:bottom w:w="120" w:type="dxa"/>
              <w:right w:w="100" w:type="dxa"/>
            </w:tcMar>
          </w:tcPr>
          <w:p w14:paraId="0D9A9264"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b/>
                <w:color w:val="000000" w:themeColor="text1"/>
                <w:sz w:val="19"/>
              </w:rPr>
              <w:t>Signal Distribution</w:t>
            </w:r>
          </w:p>
        </w:tc>
        <w:tc>
          <w:tcPr>
            <w:tcW w:w="1872" w:type="dxa"/>
            <w:shd w:val="clear" w:color="auto" w:fill="1B365D"/>
            <w:tcMar>
              <w:top w:w="120" w:type="dxa"/>
              <w:left w:w="100" w:type="dxa"/>
              <w:bottom w:w="120" w:type="dxa"/>
              <w:right w:w="100" w:type="dxa"/>
            </w:tcMar>
          </w:tcPr>
          <w:p w14:paraId="7DEED1C7"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b/>
                <w:color w:val="000000" w:themeColor="text1"/>
                <w:sz w:val="19"/>
              </w:rPr>
              <w:t>Confidence Benchmark</w:t>
            </w:r>
          </w:p>
        </w:tc>
      </w:tr>
      <w:tr w:rsidR="00A44CB8" w:rsidRPr="004E0BF5" w14:paraId="29D94AEB" w14:textId="77777777">
        <w:trPr>
          <w:jc w:val="center"/>
        </w:trPr>
        <w:tc>
          <w:tcPr>
            <w:tcW w:w="1872" w:type="dxa"/>
            <w:shd w:val="clear" w:color="auto" w:fill="F9FAFC"/>
            <w:tcMar>
              <w:top w:w="100" w:type="dxa"/>
              <w:left w:w="100" w:type="dxa"/>
              <w:bottom w:w="100" w:type="dxa"/>
              <w:right w:w="100" w:type="dxa"/>
            </w:tcMar>
          </w:tcPr>
          <w:p w14:paraId="7427E2C6"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DNA Methylation (5mC/5hmC/6mA)</w:t>
            </w:r>
          </w:p>
        </w:tc>
        <w:tc>
          <w:tcPr>
            <w:tcW w:w="1872" w:type="dxa"/>
            <w:shd w:val="clear" w:color="auto" w:fill="F9FAFC"/>
            <w:tcMar>
              <w:top w:w="100" w:type="dxa"/>
              <w:left w:w="100" w:type="dxa"/>
              <w:bottom w:w="100" w:type="dxa"/>
              <w:right w:w="100" w:type="dxa"/>
            </w:tcMar>
          </w:tcPr>
          <w:p w14:paraId="3933CD40"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-50.0 ± 2.5 pA (-55 to -45 pA)</w:t>
            </w:r>
          </w:p>
        </w:tc>
        <w:tc>
          <w:tcPr>
            <w:tcW w:w="1872" w:type="dxa"/>
            <w:shd w:val="clear" w:color="auto" w:fill="F9FAFC"/>
            <w:tcMar>
              <w:top w:w="100" w:type="dxa"/>
              <w:left w:w="100" w:type="dxa"/>
              <w:bottom w:w="100" w:type="dxa"/>
              <w:right w:w="100" w:type="dxa"/>
            </w:tcMar>
          </w:tcPr>
          <w:p w14:paraId="1355EBE4"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1.3 ± 0.4 s</w:t>
            </w:r>
          </w:p>
        </w:tc>
        <w:tc>
          <w:tcPr>
            <w:tcW w:w="1872" w:type="dxa"/>
            <w:shd w:val="clear" w:color="auto" w:fill="F9FAFC"/>
            <w:tcMar>
              <w:top w:w="100" w:type="dxa"/>
              <w:left w:w="100" w:type="dxa"/>
              <w:bottom w:w="100" w:type="dxa"/>
              <w:right w:w="100" w:type="dxa"/>
            </w:tcMar>
          </w:tcPr>
          <w:p w14:paraId="624742EC"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Normal</w:t>
            </w:r>
          </w:p>
        </w:tc>
        <w:tc>
          <w:tcPr>
            <w:tcW w:w="1872" w:type="dxa"/>
            <w:shd w:val="clear" w:color="auto" w:fill="F9FAFC"/>
            <w:tcMar>
              <w:top w:w="100" w:type="dxa"/>
              <w:left w:w="100" w:type="dxa"/>
              <w:bottom w:w="100" w:type="dxa"/>
              <w:right w:w="100" w:type="dxa"/>
            </w:tcMar>
          </w:tcPr>
          <w:p w14:paraId="62DF414E"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0.95 (Direct Measurement)</w:t>
            </w:r>
          </w:p>
        </w:tc>
      </w:tr>
      <w:tr w:rsidR="00A44CB8" w:rsidRPr="004E0BF5" w14:paraId="3DE77551" w14:textId="77777777">
        <w:trPr>
          <w:jc w:val="center"/>
        </w:trPr>
        <w:tc>
          <w:tcPr>
            <w:tcW w:w="1872" w:type="dxa"/>
            <w:tcMar>
              <w:top w:w="100" w:type="dxa"/>
              <w:left w:w="100" w:type="dxa"/>
              <w:bottom w:w="100" w:type="dxa"/>
              <w:right w:w="100" w:type="dxa"/>
            </w:tcMar>
          </w:tcPr>
          <w:p w14:paraId="101BDD56"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lastRenderedPageBreak/>
              <w:t>Lactylation Competency (K-lac)</w:t>
            </w:r>
          </w:p>
        </w:tc>
        <w:tc>
          <w:tcPr>
            <w:tcW w:w="1872" w:type="dxa"/>
            <w:tcMar>
              <w:top w:w="100" w:type="dxa"/>
              <w:left w:w="100" w:type="dxa"/>
              <w:bottom w:w="100" w:type="dxa"/>
              <w:right w:w="100" w:type="dxa"/>
            </w:tcMar>
          </w:tcPr>
          <w:p w14:paraId="1806D60E"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-31.0 ± 11.2 pA (-49.9 to -12 pA)</w:t>
            </w:r>
          </w:p>
        </w:tc>
        <w:tc>
          <w:tcPr>
            <w:tcW w:w="1872" w:type="dxa"/>
            <w:tcMar>
              <w:top w:w="100" w:type="dxa"/>
              <w:left w:w="100" w:type="dxa"/>
              <w:bottom w:w="100" w:type="dxa"/>
              <w:right w:w="100" w:type="dxa"/>
            </w:tcMar>
          </w:tcPr>
          <w:p w14:paraId="594E9833"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8.5 ± 2.1 s (Prolonged lag)</w:t>
            </w:r>
          </w:p>
        </w:tc>
        <w:tc>
          <w:tcPr>
            <w:tcW w:w="1872" w:type="dxa"/>
            <w:tcMar>
              <w:top w:w="100" w:type="dxa"/>
              <w:left w:w="100" w:type="dxa"/>
              <w:bottom w:w="100" w:type="dxa"/>
              <w:right w:w="100" w:type="dxa"/>
            </w:tcMar>
          </w:tcPr>
          <w:p w14:paraId="3731B073"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Log-normal</w:t>
            </w:r>
          </w:p>
        </w:tc>
        <w:tc>
          <w:tcPr>
            <w:tcW w:w="1872" w:type="dxa"/>
            <w:tcMar>
              <w:top w:w="100" w:type="dxa"/>
              <w:left w:w="100" w:type="dxa"/>
              <w:bottom w:w="100" w:type="dxa"/>
              <w:right w:w="100" w:type="dxa"/>
            </w:tcMar>
          </w:tcPr>
          <w:p w14:paraId="084AF00A"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0.78 (Signal-Conditioned)</w:t>
            </w:r>
          </w:p>
        </w:tc>
      </w:tr>
      <w:tr w:rsidR="00A44CB8" w:rsidRPr="004E0BF5" w14:paraId="487A2546" w14:textId="77777777">
        <w:trPr>
          <w:jc w:val="center"/>
        </w:trPr>
        <w:tc>
          <w:tcPr>
            <w:tcW w:w="1872" w:type="dxa"/>
            <w:shd w:val="clear" w:color="auto" w:fill="F9FAFC"/>
            <w:tcMar>
              <w:top w:w="100" w:type="dxa"/>
              <w:left w:w="100" w:type="dxa"/>
              <w:bottom w:w="100" w:type="dxa"/>
              <w:right w:w="100" w:type="dxa"/>
            </w:tcMar>
          </w:tcPr>
          <w:p w14:paraId="738C7B6A"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Acetylation Competency (K-ac)</w:t>
            </w:r>
          </w:p>
        </w:tc>
        <w:tc>
          <w:tcPr>
            <w:tcW w:w="1872" w:type="dxa"/>
            <w:shd w:val="clear" w:color="auto" w:fill="F9FAFC"/>
            <w:tcMar>
              <w:top w:w="100" w:type="dxa"/>
              <w:left w:w="100" w:type="dxa"/>
              <w:bottom w:w="100" w:type="dxa"/>
              <w:right w:w="100" w:type="dxa"/>
            </w:tcMar>
          </w:tcPr>
          <w:p w14:paraId="6F678D49"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+25.5 ± 14.2 pA (+1.1 to +49.9 pA)</w:t>
            </w:r>
          </w:p>
        </w:tc>
        <w:tc>
          <w:tcPr>
            <w:tcW w:w="1872" w:type="dxa"/>
            <w:shd w:val="clear" w:color="auto" w:fill="F9FAFC"/>
            <w:tcMar>
              <w:top w:w="100" w:type="dxa"/>
              <w:left w:w="100" w:type="dxa"/>
              <w:bottom w:w="100" w:type="dxa"/>
              <w:right w:w="100" w:type="dxa"/>
            </w:tcMar>
          </w:tcPr>
          <w:p w14:paraId="72A42C6B"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5.5 ± 1.4 s (Moderate lag)</w:t>
            </w:r>
          </w:p>
        </w:tc>
        <w:tc>
          <w:tcPr>
            <w:tcW w:w="1872" w:type="dxa"/>
            <w:shd w:val="clear" w:color="auto" w:fill="F9FAFC"/>
            <w:tcMar>
              <w:top w:w="100" w:type="dxa"/>
              <w:left w:w="100" w:type="dxa"/>
              <w:bottom w:w="100" w:type="dxa"/>
              <w:right w:w="100" w:type="dxa"/>
            </w:tcMar>
          </w:tcPr>
          <w:p w14:paraId="1F48EB4D"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Gamma</w:t>
            </w:r>
          </w:p>
        </w:tc>
        <w:tc>
          <w:tcPr>
            <w:tcW w:w="1872" w:type="dxa"/>
            <w:shd w:val="clear" w:color="auto" w:fill="F9FAFC"/>
            <w:tcMar>
              <w:top w:w="100" w:type="dxa"/>
              <w:left w:w="100" w:type="dxa"/>
              <w:bottom w:w="100" w:type="dxa"/>
              <w:right w:w="100" w:type="dxa"/>
            </w:tcMar>
          </w:tcPr>
          <w:p w14:paraId="4B77A823"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sz w:val="18"/>
              </w:rPr>
              <w:t>0.82 (Signal-Conditioned)</w:t>
            </w:r>
          </w:p>
        </w:tc>
      </w:tr>
    </w:tbl>
    <w:p w14:paraId="10F4D11D" w14:textId="77777777" w:rsidR="00A44CB8" w:rsidRPr="004E0BF5" w:rsidRDefault="00A44CB8" w:rsidP="00FA1AC4">
      <w:pPr>
        <w:spacing w:after="160"/>
        <w:jc w:val="both"/>
        <w:rPr>
          <w:rFonts w:asciiTheme="minorBidi" w:hAnsiTheme="minorBidi"/>
          <w:color w:val="000000" w:themeColor="text1"/>
        </w:rPr>
      </w:pPr>
    </w:p>
    <w:p w14:paraId="1B07017B"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5. Statistical Rigor &amp; Tool Independence</w:t>
      </w:r>
    </w:p>
    <w:p w14:paraId="76D08B25" w14:textId="77777777" w:rsidR="00A44CB8" w:rsidRPr="004E0BF5" w:rsidRDefault="003268C6" w:rsidP="00FA1AC4">
      <w:pPr>
        <w:jc w:val="both"/>
        <w:rPr>
          <w:rFonts w:asciiTheme="minorBidi" w:hAnsiTheme="minorBidi"/>
          <w:color w:val="000000" w:themeColor="text1"/>
        </w:rPr>
      </w:pPr>
      <w:r w:rsidRPr="004E0BF5">
        <w:rPr>
          <w:rFonts w:asciiTheme="minorBidi" w:hAnsiTheme="minorBidi"/>
          <w:color w:val="000000" w:themeColor="text1"/>
        </w:rPr>
        <w:t>• Baseline Deviation Testing: Each candidate position undergoes a statistical test evaluating ionic current deflection and dwell-lag against matched unmodified background reads.</w:t>
      </w:r>
      <w:r w:rsidRPr="004E0BF5">
        <w:rPr>
          <w:rFonts w:asciiTheme="minorBidi" w:hAnsiTheme="minorBidi"/>
          <w:color w:val="000000" w:themeColor="text1"/>
        </w:rPr>
        <w:br/>
        <w:t>• Distributional Evaluation: Benchmarked using Pearson (r) and Spearman rank correlations, supported by 10,000-iteration bootstrap confidence intervals (95% CI) and two-sample Kolmogorov–Smirnov (KS) tests to confirm distributional concordance.</w:t>
      </w:r>
      <w:r w:rsidRPr="004E0BF5">
        <w:rPr>
          <w:rFonts w:asciiTheme="minorBidi" w:hAnsiTheme="minorBidi"/>
          <w:color w:val="000000" w:themeColor="text1"/>
        </w:rPr>
        <w:br/>
        <w:t>• Independence from AGAE-Layzer: While both tools originate from the same research laboratory and utilize shared motif priors, they exhibit complete Data &amp; Execution-Level Independence. AGAE-Layzer operates purely in silico on FASTA text sequences. JEAN operates on physical, sample-specific electric current signals. The observed high concordance (r = 0.871 benchmark; r = 0.978 on M. macroplasmodialis) represents genuine orthogonal validation between sequence motif topology and empirical nanopore translocation physics.</w:t>
      </w:r>
    </w:p>
    <w:p w14:paraId="397704E0"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6. Scope, Boundary Conditions &amp; Limitations</w:t>
      </w:r>
    </w:p>
    <w:p w14:paraId="2602D7B9"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No Direct Read of Histone PTMs:</w:t>
      </w:r>
      <w:r w:rsidRPr="004E0BF5">
        <w:rPr>
          <w:rFonts w:asciiTheme="minorBidi" w:hAnsiTheme="minorBidi"/>
          <w:color w:val="000000" w:themeColor="text1"/>
        </w:rPr>
        <w:t xml:space="preserve"> JEAN interrogates nucleic acids in the pore. It does not measure the physical post-translational chemical moiety on intact histone polypeptides.</w:t>
      </w:r>
    </w:p>
    <w:p w14:paraId="561A9F95"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Derived Biophysical Modeling:</w:t>
      </w:r>
      <w:r w:rsidRPr="004E0BF5">
        <w:rPr>
          <w:rFonts w:asciiTheme="minorBidi" w:hAnsiTheme="minorBidi"/>
          <w:color w:val="000000" w:themeColor="text1"/>
        </w:rPr>
        <w:t xml:space="preserve"> While DNA methylation is directly recorded via basecall modification tags, acylation profiles represent modelled signatures derived from observed dwell-lag anomalies and local thermodynamic energy terms.</w:t>
      </w:r>
    </w:p>
    <w:p w14:paraId="56690CFD" w14:textId="111AE19A"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Motif Priors Across Divergent Taxa:</w:t>
      </w:r>
      <w:r w:rsidRPr="004E0BF5">
        <w:rPr>
          <w:rFonts w:asciiTheme="minorBidi" w:hAnsiTheme="minorBidi"/>
          <w:color w:val="000000" w:themeColor="text1"/>
        </w:rPr>
        <w:t xml:space="preserve"> PSSM scoring matrices originate from curated eukaryotic datasets. </w:t>
      </w:r>
    </w:p>
    <w:p w14:paraId="17243B67" w14:textId="77777777" w:rsidR="00A44CB8" w:rsidRPr="004E0BF5" w:rsidRDefault="003268C6" w:rsidP="00FA1AC4">
      <w:pPr>
        <w:pStyle w:val="ListBullet"/>
        <w:spacing w:after="80"/>
        <w:jc w:val="both"/>
        <w:rPr>
          <w:rFonts w:asciiTheme="minorBidi" w:hAnsiTheme="minorBidi"/>
          <w:color w:val="000000" w:themeColor="text1"/>
        </w:rPr>
      </w:pPr>
      <w:r w:rsidRPr="004E0BF5">
        <w:rPr>
          <w:rFonts w:asciiTheme="minorBidi" w:hAnsiTheme="minorBidi"/>
          <w:b/>
          <w:color w:val="000000" w:themeColor="text1"/>
        </w:rPr>
        <w:t>Orthogonal Proteomic Requirement:</w:t>
      </w:r>
      <w:r w:rsidRPr="004E0BF5">
        <w:rPr>
          <w:rFonts w:asciiTheme="minorBidi" w:hAnsiTheme="minorBidi"/>
          <w:color w:val="000000" w:themeColor="text1"/>
        </w:rPr>
        <w:t xml:space="preserve"> Complete biochemical proof of site-specific protein modifications necessitates high-resolution LC-MS/MS proteomics.</w:t>
      </w:r>
    </w:p>
    <w:p w14:paraId="64078AB3" w14:textId="77777777" w:rsidR="00A44CB8" w:rsidRPr="004E0BF5" w:rsidRDefault="003268C6" w:rsidP="00FA1AC4">
      <w:pPr>
        <w:pStyle w:val="Heading1"/>
        <w:spacing w:before="240" w:after="80"/>
        <w:jc w:val="both"/>
        <w:rPr>
          <w:rFonts w:asciiTheme="minorBidi" w:hAnsiTheme="minorBidi" w:cstheme="minorBidi"/>
          <w:color w:val="000000" w:themeColor="text1"/>
        </w:rPr>
      </w:pPr>
      <w:r w:rsidRPr="004E0BF5">
        <w:rPr>
          <w:rFonts w:asciiTheme="minorBidi" w:hAnsiTheme="minorBidi" w:cstheme="minorBidi"/>
          <w:color w:val="000000" w:themeColor="text1"/>
        </w:rPr>
        <w:t>7. Pipeline Outputs &amp; Execution</w:t>
      </w:r>
    </w:p>
    <w:p w14:paraId="22B309A1" w14:textId="79DCD282" w:rsidR="004D7504" w:rsidRDefault="006F15A8" w:rsidP="00FA1AC4">
      <w:pPr>
        <w:spacing w:after="160"/>
        <w:jc w:val="both"/>
        <w:rPr>
          <w:rFonts w:asciiTheme="minorBidi" w:hAnsiTheme="minorBidi"/>
          <w:color w:val="000000" w:themeColor="text1"/>
        </w:rPr>
      </w:pPr>
      <w:r w:rsidRPr="004E0BF5">
        <w:rPr>
          <w:rFonts w:asciiTheme="minorBidi" w:hAnsiTheme="minorBidi"/>
          <w:color w:val="000000" w:themeColor="text1"/>
        </w:rPr>
        <w:t>Output</w:t>
      </w:r>
      <w:r w:rsidR="003268C6" w:rsidRPr="004E0BF5">
        <w:rPr>
          <w:rFonts w:asciiTheme="minorBidi" w:hAnsiTheme="minorBidi"/>
          <w:color w:val="000000" w:themeColor="text1"/>
        </w:rPr>
        <w:t xml:space="preserve"> generated by JEAN include:</w:t>
      </w:r>
    </w:p>
    <w:p w14:paraId="4D0C8087" w14:textId="77777777" w:rsidR="004D7504" w:rsidRDefault="003268C6" w:rsidP="00FA1AC4">
      <w:pPr>
        <w:spacing w:after="160"/>
        <w:jc w:val="both"/>
        <w:rPr>
          <w:rFonts w:asciiTheme="minorBidi" w:hAnsiTheme="minorBidi"/>
          <w:color w:val="000000" w:themeColor="text1"/>
        </w:rPr>
      </w:pPr>
      <w:r w:rsidRPr="004E0BF5">
        <w:rPr>
          <w:rFonts w:asciiTheme="minorBidi" w:hAnsiTheme="minorBidi"/>
          <w:color w:val="000000" w:themeColor="text1"/>
        </w:rPr>
        <w:t>• Tabular Outputs: Per-site acylation and methylation calls in CSV, TSV, multi-sheet Excel (.xlsx), and JSON formats.</w:t>
      </w:r>
    </w:p>
    <w:p w14:paraId="7E2408CA" w14:textId="77777777" w:rsidR="004D7504" w:rsidRDefault="003268C6" w:rsidP="00FA1AC4">
      <w:pPr>
        <w:spacing w:after="160"/>
        <w:jc w:val="both"/>
        <w:rPr>
          <w:rFonts w:asciiTheme="minorBidi" w:hAnsiTheme="minorBidi"/>
          <w:color w:val="000000" w:themeColor="text1"/>
        </w:rPr>
      </w:pPr>
      <w:r w:rsidRPr="004E0BF5">
        <w:rPr>
          <w:rFonts w:asciiTheme="minorBidi" w:hAnsiTheme="minorBidi"/>
          <w:color w:val="000000" w:themeColor="text1"/>
        </w:rPr>
        <w:t>• 2D Visualizations: High-resolution current vs. time chromatograms annotating modification peaks (SVG / PNG).</w:t>
      </w:r>
    </w:p>
    <w:p w14:paraId="30E59EB0" w14:textId="77777777" w:rsidR="004D7504" w:rsidRDefault="003268C6" w:rsidP="00FA1AC4">
      <w:pPr>
        <w:spacing w:after="160"/>
        <w:jc w:val="both"/>
        <w:rPr>
          <w:rFonts w:asciiTheme="minorBidi" w:hAnsiTheme="minorBidi"/>
          <w:color w:val="000000" w:themeColor="text1"/>
        </w:rPr>
      </w:pPr>
      <w:r w:rsidRPr="004E0BF5">
        <w:rPr>
          <w:rFonts w:asciiTheme="minorBidi" w:hAnsiTheme="minorBidi"/>
          <w:color w:val="000000" w:themeColor="text1"/>
        </w:rPr>
        <w:t>• 3D Interactive Plots: HTML/WebGL visualizers showing Current Amplitude × Genomic Coordinate × Dwell Time.</w:t>
      </w:r>
    </w:p>
    <w:p w14:paraId="1060DC48" w14:textId="74059C08" w:rsidR="00A44CB8" w:rsidRPr="004E0BF5" w:rsidRDefault="003268C6" w:rsidP="00FA1AC4">
      <w:pPr>
        <w:spacing w:after="160"/>
        <w:jc w:val="both"/>
        <w:rPr>
          <w:rFonts w:asciiTheme="minorBidi" w:hAnsiTheme="minorBidi"/>
          <w:color w:val="000000" w:themeColor="text1"/>
        </w:rPr>
      </w:pPr>
      <w:r w:rsidRPr="004E0BF5">
        <w:rPr>
          <w:rFonts w:asciiTheme="minorBidi" w:hAnsiTheme="minorBidi"/>
          <w:color w:val="000000" w:themeColor="text1"/>
        </w:rPr>
        <w:lastRenderedPageBreak/>
        <w:t>• Reproducibility Bundle: Compressed ZIP archives containing complete run metrics, coverage profiles, and logs.</w:t>
      </w:r>
    </w:p>
    <w:p w14:paraId="275FB4F6" w14:textId="77777777" w:rsidR="004D7504" w:rsidRDefault="003268C6" w:rsidP="00FA1AC4">
      <w:pPr>
        <w:spacing w:after="240"/>
        <w:jc w:val="both"/>
        <w:rPr>
          <w:rFonts w:asciiTheme="minorBidi" w:hAnsiTheme="minorBidi"/>
          <w:i/>
          <w:color w:val="000000" w:themeColor="text1"/>
        </w:rPr>
      </w:pPr>
      <w:r w:rsidRPr="004E0BF5">
        <w:rPr>
          <w:rFonts w:asciiTheme="minorBidi" w:hAnsiTheme="minorBidi"/>
          <w:i/>
          <w:color w:val="000000" w:themeColor="text1"/>
        </w:rPr>
        <w:t># Clone and run JEAN containerized</w:t>
      </w:r>
    </w:p>
    <w:p w14:paraId="166D9DE7" w14:textId="77777777" w:rsidR="004D7504" w:rsidRDefault="003268C6" w:rsidP="00FA1AC4">
      <w:pPr>
        <w:spacing w:after="240"/>
        <w:jc w:val="both"/>
        <w:rPr>
          <w:rFonts w:asciiTheme="minorBidi" w:hAnsiTheme="minorBidi"/>
          <w:color w:val="000000" w:themeColor="text1"/>
        </w:rPr>
      </w:pPr>
      <w:r w:rsidRPr="004E0BF5">
        <w:rPr>
          <w:rFonts w:asciiTheme="minorBidi" w:hAnsiTheme="minorBidi"/>
          <w:color w:val="000000" w:themeColor="text1"/>
        </w:rPr>
        <w:t>git clone https://github.com/amrgalalibrahim/JEAN-Joint-Epigenetic-Analysis-of-Nanopore.git</w:t>
      </w:r>
      <w:r w:rsidRPr="004E0BF5">
        <w:rPr>
          <w:rFonts w:asciiTheme="minorBidi" w:hAnsiTheme="minorBidi"/>
          <w:color w:val="000000" w:themeColor="text1"/>
        </w:rPr>
        <w:br/>
        <w:t>cd</w:t>
      </w:r>
      <w:r w:rsidR="004D7504">
        <w:rPr>
          <w:rFonts w:asciiTheme="minorBidi" w:hAnsiTheme="minorBidi"/>
          <w:color w:val="000000" w:themeColor="text1"/>
        </w:rPr>
        <w:t xml:space="preserve"> </w:t>
      </w:r>
      <w:r w:rsidRPr="004E0BF5">
        <w:rPr>
          <w:rFonts w:asciiTheme="minorBidi" w:hAnsiTheme="minorBidi"/>
          <w:color w:val="000000" w:themeColor="text1"/>
        </w:rPr>
        <w:t>JEAN-Joint-Epigenetic-Analysis-of-Nanopore</w:t>
      </w:r>
    </w:p>
    <w:p w14:paraId="6EEF752B" w14:textId="064F6663" w:rsidR="00A44CB8" w:rsidRPr="004E0BF5" w:rsidRDefault="003268C6" w:rsidP="00FA1AC4">
      <w:pPr>
        <w:spacing w:after="240"/>
        <w:jc w:val="both"/>
        <w:rPr>
          <w:rFonts w:asciiTheme="minorBidi" w:hAnsiTheme="minorBidi"/>
          <w:color w:val="000000" w:themeColor="text1"/>
        </w:rPr>
      </w:pPr>
      <w:r w:rsidRPr="004E0BF5">
        <w:rPr>
          <w:rFonts w:asciiTheme="minorBidi" w:hAnsiTheme="minorBidi"/>
          <w:color w:val="000000" w:themeColor="text1"/>
        </w:rPr>
        <w:t>docker-compose up --build</w:t>
      </w:r>
    </w:p>
    <w:sectPr w:rsidR="00A44CB8" w:rsidRPr="004E0B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017936">
    <w:abstractNumId w:val="8"/>
  </w:num>
  <w:num w:numId="2" w16cid:durableId="1750224244">
    <w:abstractNumId w:val="6"/>
  </w:num>
  <w:num w:numId="3" w16cid:durableId="105656393">
    <w:abstractNumId w:val="5"/>
  </w:num>
  <w:num w:numId="4" w16cid:durableId="1209411030">
    <w:abstractNumId w:val="4"/>
  </w:num>
  <w:num w:numId="5" w16cid:durableId="1320187934">
    <w:abstractNumId w:val="7"/>
  </w:num>
  <w:num w:numId="6" w16cid:durableId="1715232951">
    <w:abstractNumId w:val="3"/>
  </w:num>
  <w:num w:numId="7" w16cid:durableId="1348485063">
    <w:abstractNumId w:val="2"/>
  </w:num>
  <w:num w:numId="8" w16cid:durableId="452558371">
    <w:abstractNumId w:val="1"/>
  </w:num>
  <w:num w:numId="9" w16cid:durableId="71828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F4B"/>
    <w:rsid w:val="0029639D"/>
    <w:rsid w:val="002C1E8C"/>
    <w:rsid w:val="00316C58"/>
    <w:rsid w:val="003268C6"/>
    <w:rsid w:val="00326F90"/>
    <w:rsid w:val="00361C09"/>
    <w:rsid w:val="003C5906"/>
    <w:rsid w:val="00427F04"/>
    <w:rsid w:val="0048348B"/>
    <w:rsid w:val="004D7504"/>
    <w:rsid w:val="004E0BF5"/>
    <w:rsid w:val="004E66CE"/>
    <w:rsid w:val="00503720"/>
    <w:rsid w:val="00585608"/>
    <w:rsid w:val="005A3EB0"/>
    <w:rsid w:val="005B6A0B"/>
    <w:rsid w:val="006241C6"/>
    <w:rsid w:val="006E0104"/>
    <w:rsid w:val="006F15A8"/>
    <w:rsid w:val="007E2825"/>
    <w:rsid w:val="008261C5"/>
    <w:rsid w:val="00884D30"/>
    <w:rsid w:val="008B133C"/>
    <w:rsid w:val="008C28F4"/>
    <w:rsid w:val="00A26F5D"/>
    <w:rsid w:val="00A44CB8"/>
    <w:rsid w:val="00A9387F"/>
    <w:rsid w:val="00AA1D8D"/>
    <w:rsid w:val="00B21703"/>
    <w:rsid w:val="00B47730"/>
    <w:rsid w:val="00B721F1"/>
    <w:rsid w:val="00C605D7"/>
    <w:rsid w:val="00C616A8"/>
    <w:rsid w:val="00C82F24"/>
    <w:rsid w:val="00CB0664"/>
    <w:rsid w:val="00D7425C"/>
    <w:rsid w:val="00D95778"/>
    <w:rsid w:val="00E35CB4"/>
    <w:rsid w:val="00EC0C33"/>
    <w:rsid w:val="00FA1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0F1685-8457-4017-8483-18F47BF7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03720"/>
    <w:pPr>
      <w:spacing w:after="0" w:line="240" w:lineRule="auto"/>
    </w:pPr>
  </w:style>
  <w:style w:type="character" w:styleId="CommentReference">
    <w:name w:val="annotation reference"/>
    <w:basedOn w:val="DefaultParagraphFont"/>
    <w:uiPriority w:val="99"/>
    <w:semiHidden/>
    <w:unhideWhenUsed/>
    <w:rsid w:val="00C82F24"/>
    <w:rPr>
      <w:sz w:val="16"/>
      <w:szCs w:val="16"/>
    </w:rPr>
  </w:style>
  <w:style w:type="paragraph" w:styleId="CommentText">
    <w:name w:val="annotation text"/>
    <w:basedOn w:val="Normal"/>
    <w:link w:val="CommentTextChar"/>
    <w:uiPriority w:val="99"/>
    <w:unhideWhenUsed/>
    <w:rsid w:val="00C82F24"/>
    <w:pPr>
      <w:spacing w:line="240" w:lineRule="auto"/>
    </w:pPr>
    <w:rPr>
      <w:sz w:val="20"/>
      <w:szCs w:val="20"/>
    </w:rPr>
  </w:style>
  <w:style w:type="character" w:customStyle="1" w:styleId="CommentTextChar">
    <w:name w:val="Comment Text Char"/>
    <w:basedOn w:val="DefaultParagraphFont"/>
    <w:link w:val="CommentText"/>
    <w:uiPriority w:val="99"/>
    <w:rsid w:val="00C82F24"/>
    <w:rPr>
      <w:sz w:val="20"/>
      <w:szCs w:val="20"/>
    </w:rPr>
  </w:style>
  <w:style w:type="paragraph" w:styleId="CommentSubject">
    <w:name w:val="annotation subject"/>
    <w:basedOn w:val="CommentText"/>
    <w:next w:val="CommentText"/>
    <w:link w:val="CommentSubjectChar"/>
    <w:uiPriority w:val="99"/>
    <w:semiHidden/>
    <w:unhideWhenUsed/>
    <w:rsid w:val="00C82F24"/>
    <w:rPr>
      <w:b/>
      <w:bCs/>
    </w:rPr>
  </w:style>
  <w:style w:type="character" w:customStyle="1" w:styleId="CommentSubjectChar">
    <w:name w:val="Comment Subject Char"/>
    <w:basedOn w:val="CommentTextChar"/>
    <w:link w:val="CommentSubject"/>
    <w:uiPriority w:val="99"/>
    <w:semiHidden/>
    <w:rsid w:val="00C82F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 galal</cp:lastModifiedBy>
  <cp:revision>34</cp:revision>
  <dcterms:created xsi:type="dcterms:W3CDTF">2013-12-23T23:15:00Z</dcterms:created>
  <dcterms:modified xsi:type="dcterms:W3CDTF">2026-09-15T16:16:00Z</dcterms:modified>
  <cp:category/>
</cp:coreProperties>
</file>