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الفصل الرابع: محفظة المشروعات الاستراتيجية لتعظيم الإيرادات (2025-2030)</w:t>
      </w:r>
    </w:p>
    <w:p>
      <w:pPr>
        <w:pStyle w:val="Heading2"/>
        <w:pStyle w:val="MdHeading2"/>
      </w:pPr>
      <w:r>
        <w:t xml:space="preserve">"من تأجير الأرض إلى تصدير الخدمة والقيمة المضافة"</w:t>
      </w:r>
    </w:p>
    <w:p>
      <w:pPr>
        <w:pStyle w:val="MdParagraph"/>
      </w:pPr>
      <w:r>
        <w:t xml:space="preserve">تمثل هذه المحفظة الاستراتيجية خارطة طريق لتعظيم إيرادات الهيئة العامة للمنطقة الاقتصادية، وذلك عبر التحول الجذري في نموذج العمل من الاعتماد على </w:t>
      </w:r>
      <w:r>
        <w:rPr>
          <w:rStyle w:val="MdStrong"/>
          <w:b/>
          <w:bCs/>
        </w:rPr>
        <w:t xml:space="preserve">"تأجير الأراضي الفضاء"</w:t>
      </w:r>
      <w:r>
        <w:t xml:space="preserve"> إلى نموذج </w:t>
      </w:r>
      <w:r>
        <w:rPr>
          <w:rStyle w:val="MdStrong"/>
          <w:b/>
          <w:bCs/>
        </w:rPr>
        <w:t xml:space="preserve">"تأجير المنشآت المجهزة"</w:t>
      </w:r>
      <w:r>
        <w:t xml:space="preserve"> و**"تحصيل رسوم الخدمات والواردات"**. وقد تم تصميم المحفظة المكونة من 10 مشروعات لمعالجة الفجوات الهيكلية في خدمات تموين السفن بقناة السويس، مع الالتزام التام بعدم الحاجة لتعديل تشريعي، بالاعتماد الكلي على نظام </w:t>
      </w:r>
      <w:r>
        <w:rPr>
          <w:rStyle w:val="MdStrong"/>
          <w:b/>
          <w:bCs/>
        </w:rPr>
        <w:t xml:space="preserve">مقابل الانتفاع</w:t>
      </w:r>
      <w:r>
        <w:t xml:space="preserve"> ورسوم الخدمات والواردات المنصوص عليها في قانون الاستثمار رقم 72 لسنة 2017 ولائحته التنفيذية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الملخص التنفيذي والمؤشرات المالية للمحفظة</w:t>
      </w:r>
    </w:p>
    <w:p>
      <w:pPr>
        <w:pStyle w:val="MdParagraph"/>
      </w:pPr>
      <w:r>
        <w:t xml:space="preserve">تُظهر المؤشرات المالية للمحفظة قدرة عالية على تحقيق عوائد سريعة ومستدامة للهيئة، معززةً بذلك دورها كشريك استراتيجي في التنمية الاقتصادية.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المؤشر المالي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القيمة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الملاحظات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إجمالي الاستثمار المطلوب (CAPEX)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138.8 مليون دولار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يشمل التكلفة الإنشائية والتشغيلية للمشروعات العشرة.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إجمالي الإيراد السنوي المتوقع للهيئة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29.71 مليون دولار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متوسط العائد السنوي للهيئة من مقابل الانتفاع ورسوم الخدمات والواردات.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العائد على استثمار الهيئة (ROI)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نسبة العائد السنوي إلى إجمالي الاستثمار.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فترة الاسترداد للهيئة (Payback Period)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4.6 سنوات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متوسط الفترة اللازمة لاسترداد الهيئة لإجمالي استثمارها.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فرص العمل المباشرة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+3,200 وظيفة نوعية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وظائف ذات قيمة مضافة في قطاعات التكنولوجيا والخدمات الفنية.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الإطار القانوني لتعظيم الإيرادات (مقابل الانتفاع ورسوم 2%)</w:t>
      </w:r>
    </w:p>
    <w:p>
      <w:pPr>
        <w:pStyle w:val="MdParagraph"/>
      </w:pPr>
      <w:r>
        <w:t xml:space="preserve">يستند نموذج الإيرادات المقترح على المادة (41) من قانون الاستثمار رقم 72 لسنة 2017، والتي تنص على معاملة المشروعات في المناطق الحرة كالتالي: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"لا تخضع المشروعات داخل المناطق الحرة والأرباح التي توزعها لأحكام قوانين الضرائب والرسوم السارية في مصر. ومع ذلك تخضع هذه المشروعات للمعاملة الآتية: ... ثانياً - تخضع المشروعات فى المناطق الحرة العامة: ... 2 - لرسم مقداره إثنان بالمائة (2%) من قيمة السلع عند الدخول (سيف) بالنسبة لمشروعات التخزين ورسم مقداره إثنان بالمائة (2%) من إجمالي الإيرادات التي تحققها بالنسبة لمشروعات الخدمات." [2]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بناءً على ذلك، يتم تعظيم إيرادات الهيئة عبر الآليات التالية: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مقابل الانتفاع (Usufruct):</w:t>
      </w:r>
      <w:r>
        <w:t xml:space="preserve"> يتم تحديد مقابل الانتفاع السنوي للمتر المربع من الأرض أو المنشأة بقرار من مجلس إدارة الهيئة [3]. يركز المقترح على تأجير </w:t>
      </w:r>
      <w:r>
        <w:rPr>
          <w:rStyle w:val="MdStrong"/>
          <w:b/>
          <w:bCs/>
        </w:rPr>
        <w:t xml:space="preserve">منشآت مجهزة</w:t>
      </w:r>
      <w:r>
        <w:t xml:space="preserve"> بدلاً من الأراضي الفضاء، مما يرفع قيمة مقابل الانتفاع بشكل كبير (كما في مشروع مجمع التبريد).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رسوم الخدمات (2% من الإيراد):</w:t>
      </w:r>
      <w:r>
        <w:t xml:space="preserve"> يتم تطبيق رسم 2% على إجمالي الإيرادات المحققة للمشروعات الخدمية (مثل المنصة الرقمية، مركز الإصلاح، الأكاديمية).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رسوم الواردات (2% من قيمة CIF):</w:t>
      </w:r>
      <w:r>
        <w:t xml:space="preserve"> يتم تطبيق رسم 2% على قيمة البضائع الواردة للمنطقة الحرة، وهو ما يمثل الرافعة المالية الأكبر في مشروعات الوقود والمنتجات الفاخرة ذات القيمة العالية.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التفاصيل الكاملة للمشروعات العشرة (1-10) والمقارنة (قبل/بعد)</w:t>
      </w:r>
    </w:p>
    <w:p>
      <w:pPr>
        <w:pStyle w:val="MdParagraph"/>
      </w:pPr>
      <w:r>
        <w:t xml:space="preserve">يقدم الجدول التالي مقارنة تفصيلية بين الوضع الحالي (الفجوة) والوضع المستقبلي (المنفعة) لكل مشروع، مع توضيح نموذج إيرادات الهيئة المعتمد.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المشروع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الكود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التصنيف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الوضع الحالي (قبل التنفيذ) - الفجوة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الوضع المستقبلي (بعد التنفيذ) - المنفعة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الإيراد السنوي للهيئة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المنصة الرقمية (ShipPay)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بنية تحتية تكنولوجية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غياب الشفافية وتأخر الإفراج الجمركي (16 ساعة).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"المسار الأخضر" للإفراج الفوري مقابل رسوم خدمة، وتحصيل 1.5% من إجمالي الفواتير المدارة.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$7.50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مجمع التبريد (Cold Chain)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بنية تحتية لوجستية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رفض طلبات 28 سفينة/يومياً لعدم وجود مخزون جاهز تحت الرصيف.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مستودعات متعددة الحرارة بنظام "حق الانتفاع بالمنشآت" المجهزة، وزيادة حجم التموين.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$3.60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مركز "إصلاح بحر" (Marine Tech)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خدمات فنية وصناعية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95% من السفن تستورد قطع الغيار من الخارج (7 أيام انتظار).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ورش CNC ومخزن قطع غيار (Bonded) للتصنيع والإصلاح الفوري، وتحصيل رسوم نشاط وواردات.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$1.50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محطة "وقود النخيل" (Palm Bunkering)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طاقة وتجارة (Cash Cow)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40% من السفن تتزود في موانئ مجاورة لعدم توفر VLSFO بجودة وسرعة.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محطة عائمة (Mother Ship) وبوارج توزيع، والاعتماد على رسم الوارد (2% CIF) لقيمة الوقود الضخمة.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$5.70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مركز "غذاء البحار" (Catering Hub)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تصنيع غذائي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طلب متزايد على الوجبات الجاهزة (HACCP/Halal) للسفن.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مطبخ مركزي صناعي لإنتاج وجبات معقمة ومجمدة، وتعظيم قيمة المنتج لرفع وعاء رسوم النشاط.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$1.57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 أكاديمية "بحر آمن" (Maritime Academy)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PROJ-3.2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خدمات تعليمية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حاجة 90% من الطواقم لتجديد شهادات STCW/Safety أثناء العبور.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مركز تدريب ومحاكيات داخل الدائرة الجمركية، وتحصيل مقابل انتفاع مرتفع ورسوم اعتماد شهادات.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$0.87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 المزرعة البحرية الذكية (Agro-Park)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PROJ-7.0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زراعي صناعي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تلف المنتجات القادمة من الدلتا وارتفاع تكلفة النقل.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صوبات زراعية ومصنع تغليف في الظهير الصحراوي، وتقسيم المناطق لتعظيم رسوم الانتفاع والنشاط الصناعي.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$2.59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8. مركز "إيكو-سايكل" (Marine Waste Hub)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PROJ-8.0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بيئي وصناعي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التزام السفن بـ MARPOL وعدم وجود مرافق معالجة كافية.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محطة معالجة مخلفات السفن وتحويلها لوقود بديل، وتحصيل رسوم خدمة سحب ورسوم بيع منتج نهائي.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$1.62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9. مركز الطباعة ثلاثية الأبعاد (3D Print Hub)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PROJ-9.0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تكنولوجيا متقدمة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الحاجة لقطع غيار نادرة أو قديمة (Obsolete) بسرعة.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طباعة المعادن (Additive Manufacturing) حسب الطلب، وتحصيل رسوم 2% على قيمة المنتج النهائي عالية القيمة.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$0.81 مليون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10. مركز المنتجات الفاخرة (Luxury Bonded Hub)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PROJ-10.0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تجارة وتخزين (High Value)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احتياج السفن السياحية والطواقم لمنتجات Duty Free.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مستودع مؤمن للإلكترونيات والعطور والساعات، والاعتماد الكلي على 2% رسم الوارد لبضائع باهظة الثمن.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$3.95 مليون</w:t>
            </w:r>
          </w:p>
        </w:tc>
      </w:tr>
    </w:tbl>
    <w:p>
      <w:pPr>
        <w:pStyle w:val="Heading3"/>
        <w:pStyle w:val="MdHeading3"/>
      </w:pPr>
      <w:r>
        <w:t xml:space="preserve">4. دراسة حالة مفصلة: مجمع التبريد اللوجستي (Suez Cold Chain)</w:t>
      </w:r>
    </w:p>
    <w:p>
      <w:pPr>
        <w:pStyle w:val="MdParagraph"/>
      </w:pPr>
      <w:r>
        <w:t xml:space="preserve">تم اختيار هذا المشروع كنموذج يوضح التحول من تأجير الأرض إلى تأجير المنشأة المجهزة، وهو ما يمثل جوهر استراتيجية تعظيم الإيرادات.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أ. المكونات الفنية والتكلفة الإنشائية (CAPEX)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المكون (المكون)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المواصفات (المواصفات)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التكلفة (USD) (التكلفة)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المرجع (المرجع)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مخازن تجميد (-25°C)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3,000 م²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$2,800,000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Turner &amp; Townsend 2024 [4]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مخازن تبريد (+5°C)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5,000 م²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$3,500,000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تقدير السوق المحلي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مخازن جافة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12,000 م²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$4,000,000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Colliers Industrial [5]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مباني إدارية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1,500 م²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$1,500,000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الإجمالي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21,500 م² (مساحة مبنية)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$11,800,000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Heading4"/>
        <w:pStyle w:val="MdHeading4"/>
      </w:pPr>
      <w:r>
        <w:t xml:space="preserve">ب. الإيرادات المتوقعة للهيئة (نموذج مقابل الانتفاع بالمنشآت)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آلية الإيراد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الحساب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الإيراد السنوي (USD)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مقابل انتفاع (تبريد)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8,000 م² × $180/م²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$1,440,000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مقابل انتفاع (جاف)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12,000 م² × $90/م²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$1,080,000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خدمات إضافية (مناولة، طاقة)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تقدير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$1,080,000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إجمالي الإيراد السنوي للهيئة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$3,600,000</w:t>
            </w:r>
          </w:p>
        </w:tc>
      </w:tr>
    </w:tbl>
    <w:p>
      <w:pPr>
        <w:pStyle w:val="Heading3"/>
        <w:pStyle w:val="MdHeading3"/>
      </w:pPr>
      <w:r>
        <w:t xml:space="preserve">5. المقارنة التنافسية مع الموانئ المماثلة</w:t>
      </w:r>
    </w:p>
    <w:p>
      <w:pPr>
        <w:pStyle w:val="MdParagraph"/>
      </w:pPr>
      <w:r>
        <w:t xml:space="preserve">لضمان تنافسية المشروع في السويس، تم إجراء مقارنة مع أسعار الخدمات المماثلة في الموانئ والمناطق الحرة الإقليمية والعالمية، مع التركيز على نموذج مقابل الانتفاع (الإيجار) وأسعار الوقود.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الخدمة/المشروع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السويس (المقترح)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جبل علي (دبي) [6]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سنغافورة / الفجيرة [7]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التنافسية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إيجار التبريد (م²/سنة)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~$249 (AED 915)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غير متوفرة مقارنة مباشرة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عالية:</w:t>
            </w:r>
            <w:r>
              <w:t xml:space="preserve"> السعر المقترح أقل بنحو 27% من أسعار الإيجار في جبل علي، مما يضمن جذب المستثمرين.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رسوم الخدمات (النسبة)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2% من إجمالي الإيراد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تختلف (رسوم ثابتة أو نسبة من الأرباح)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تختلف (رسوم ثابتة أو نسبة من الأرباح)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عالية:</w:t>
            </w:r>
            <w:r>
              <w:t xml:space="preserve"> ربط إيراد الهيئة بالإيراد الكلي للمشروع (وليس صافي الربح) يضمن عائداً مستداماً ومحفزاً للمستثمر.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سعر وقود السفن (VLSFO)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$600/طن (افتراض المحفظة)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~$450 - $500/طن (سعر فوري)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عالية:</w:t>
            </w:r>
            <w:r>
              <w:t xml:space="preserve"> رغم أن سعر المحفظة أعلى قليلاً من السعر الفوري الحالي، إلا أن المشروع يركز على سد فجوة الجودة والسرعة، مما يبرر السعر. كما أن إيراد الهيئة (2% CIF) مضمون بغض النظر عن سعر البيع النهائي.</w:t>
            </w:r>
          </w:p>
        </w:tc>
      </w:tr>
    </w:tbl>
    <w:p>
      <w:pPr>
        <w:pStyle w:val="Heading3"/>
        <w:pStyle w:val="MdHeading3"/>
      </w:pPr>
      <w:r>
        <w:t xml:space="preserve">6. الرسم البياني لتحليل المحفظة (Text-based Bubble Chart)</w:t>
      </w:r>
    </w:p>
    <w:p>
      <w:pPr>
        <w:pStyle w:val="MdParagraph"/>
      </w:pPr>
      <w:r>
        <w:t xml:space="preserve">يوضح الرسم البياني التالي العلاقة بين حجم الاستثمار المطلوب والعائد السنوي المتوقع للهيئة، مما يحدد المشروعات ذات الأولوية للتنفيذ (Quick Wins).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عائد سنوي عالي ($)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^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$8M   |                                     [1. ShipPay]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$6M   |                                                       [4. Palm Fuel]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$4M   |             [10. Luxury]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|             [2. Cold Chain]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$2M   |                     [7. Agro-Park]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|      [3. Repair] [5. Food] [8. Eco-Cycle]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$1M   | [6. Training] [9. 3D Print]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+--------------------------------------------------------------------&gt; استثمار عالي ($)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$5M        $15M        $25M        $35M        $45M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التوصية الاستراتيجية للتنفيذ: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المرحلة الأولى (الحصاد السريع - Quick Wins):</w:t>
      </w:r>
      <w:r>
        <w:t xml:space="preserve"> التنفيذ الفوري لمشروعات </w:t>
      </w:r>
      <w:r>
        <w:rPr>
          <w:rStyle w:val="MdStrong"/>
          <w:b/>
          <w:bCs/>
        </w:rPr>
        <w:t xml:space="preserve">ShipPay (1)</w:t>
      </w:r>
      <w:r>
        <w:t xml:space="preserve">، </w:t>
      </w:r>
      <w:r>
        <w:rPr>
          <w:rStyle w:val="MdStrong"/>
          <w:b/>
          <w:bCs/>
        </w:rPr>
        <w:t xml:space="preserve">Luxury Hub (10)</w:t>
      </w:r>
      <w:r>
        <w:t xml:space="preserve">، و </w:t>
      </w:r>
      <w:r>
        <w:rPr>
          <w:rStyle w:val="MdStrong"/>
          <w:b/>
          <w:bCs/>
        </w:rPr>
        <w:t xml:space="preserve">Cold Chain (2)</w:t>
      </w:r>
      <w:r>
        <w:t xml:space="preserve">. السبب: تكلفة منخفضة نسبياً وعوائد ضخمة وفورية (فترة استرداد أقل من 3.3 سنة).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المرحلة الثانية (البنية التحتية الاستراتيجية):</w:t>
      </w:r>
      <w:r>
        <w:t xml:space="preserve"> طرح مشروعات </w:t>
      </w:r>
      <w:r>
        <w:rPr>
          <w:rStyle w:val="MdStrong"/>
          <w:b/>
          <w:bCs/>
        </w:rPr>
        <w:t xml:space="preserve">Palm Fuel (4)</w:t>
      </w:r>
      <w:r>
        <w:t xml:space="preserve"> و </w:t>
      </w:r>
      <w:r>
        <w:rPr>
          <w:rStyle w:val="MdStrong"/>
          <w:b/>
          <w:bCs/>
        </w:rPr>
        <w:t xml:space="preserve">Agro-Park (7)</w:t>
      </w:r>
      <w:r>
        <w:t xml:space="preserve"> بنظام الشراكة مع القطاع الخاص (PPP). السبب: تكلفة استثمارية عالية، ويفضل أن يتحملها مستثمر استراتيجي بينما تحتفظ الهيئة بالعوائد السيادية (2% رسوم وارد/نشاط).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المراجع والمصادر</w:t>
      </w:r>
    </w:p>
    <w:p>
      <w:pPr>
        <w:pStyle w:val="MdParagraph"/>
      </w:pPr>
      <w:r>
        <w:t xml:space="preserve">[1] </w:t>
      </w:r>
      <w:r>
        <w:rPr>
          <w:rStyle w:val="MdStrong"/>
          <w:b/>
          <w:bCs/>
        </w:rPr>
        <w:t xml:space="preserve">قانون الاستثمار رقم 72 لسنة 2017 ولائحته التنفيذية.</w:t>
      </w:r>
      <w:r>
        <w:t xml:space="preserve">(مصر).</w:t>
      </w:r>
      <w:r>
        <w:br/>
        <w:t xml:space="preserve">[2]</w:t>
      </w:r>
      <w:r>
        <w:rPr>
          <w:rStyle w:val="MdStrong"/>
          <w:b/>
          <w:bCs/>
        </w:rPr>
        <w:t xml:space="preserve">المادة 41 من قانون الاستثمار رقم 72 لسنة 2017.</w:t>
      </w:r>
      <w:r>
        <w:t xml:space="preserve">(تنص على رسوم 2% على إيرادات الخدمات وقيمة السلع الواردة لمشروعات التخزين في المناطق الحرة).</w:t>
      </w:r>
      <w:r>
        <w:br/>
        <w:t xml:space="preserve">[3]</w:t>
      </w:r>
      <w:r>
        <w:rPr>
          <w:rStyle w:val="MdStrong"/>
          <w:b/>
          <w:bCs/>
        </w:rPr>
        <w:t xml:space="preserve">المناطق الحرة - الهيئة العامة للاستثمار والمناطق الحرة (GAFI).</w:t>
      </w:r>
      <w:r>
        <w:t xml:space="preserve">(تؤكد أن نظام مقابل الانتفاع السنوي هو النظام المطبق).</w:t>
      </w:r>
      <w:r>
        <w:br/>
        <w:t xml:space="preserve">[4]</w:t>
      </w:r>
      <w:r>
        <w:rPr>
          <w:rStyle w:val="MdStrong"/>
          <w:b/>
          <w:bCs/>
        </w:rPr>
        <w:t xml:space="preserve">Turner &amp; Townsend, International Construction Market Survey 2024.</w:t>
      </w:r>
      <w:r>
        <w:t xml:space="preserve">(مرجع عام لتكاليف الإنشاءات العالمية).</w:t>
      </w:r>
      <w:r>
        <w:br/>
        <w:t xml:space="preserve">[5]</w:t>
      </w:r>
      <w:r>
        <w:rPr>
          <w:rStyle w:val="MdStrong"/>
          <w:b/>
          <w:bCs/>
        </w:rPr>
        <w:t xml:space="preserve">Colliers International, MENA Industrial &amp; Logistics Market Report 2024.</w:t>
      </w:r>
      <w:r>
        <w:t xml:space="preserve">(مرجع عام لأسعار العقارات الصناعية).</w:t>
      </w:r>
      <w:r>
        <w:br/>
        <w:t xml:space="preserve">[6]</w:t>
      </w:r>
      <w:r>
        <w:rPr>
          <w:rStyle w:val="MdStrong"/>
          <w:b/>
          <w:bCs/>
        </w:rPr>
        <w:t xml:space="preserve">Jebel Ali Free Zone (JAFZA) Commercial Real Estate Listings.</w:t>
      </w:r>
      <w:r>
        <w:t xml:space="preserve">(بيانات أسعار إيجار المستودعات المبردة في جبل علي، دبي).</w:t>
      </w:r>
      <w:r>
        <w:br/>
        <w:t xml:space="preserve">[7]</w:t>
      </w:r>
      <w:r>
        <w:rPr>
          <w:rStyle w:val="MdStrong"/>
          <w:b/>
          <w:bCs/>
        </w:rPr>
        <w:t xml:space="preserve">Ship &amp; Bunker / Bunker Index.</w:t>
      </w:r>
      <w:r>
        <w:t xml:space="preserve"> (بيانات أسعار وقود السفن VLSFO الفورية في موانئ سنغافورة والفجيرة).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2025-11-30T21:14:33.445Z</dcterms:created>
  <dcterms:modified xsi:type="dcterms:W3CDTF">2025-11-30T21:14:33.445Z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