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00A1FD"/>
          <w:sz w:val="20"/>
          <w:szCs w:val="20"/>
        </w:rPr>
        <w:t xml:space="preserve">WEEK 4 · FINAL PROJECT</w:t>
      </w:r>
    </w:p>
    <w:p>
      <w:pPr>
        <w:spacing w:after="60" w:before="120"/>
      </w:pPr>
      <w:r>
        <w:rPr>
          <w:rFonts w:ascii="Arial" w:cs="Arial" w:eastAsia="Arial" w:hAnsi="Arial"/>
          <w:b/>
          <w:bCs/>
          <w:color w:val="04214B"/>
          <w:sz w:val="34"/>
          <w:szCs w:val="34"/>
        </w:rPr>
        <w:t xml:space="preserve">AI-Powered Content Operations Platform — Skip Studio</w:t>
      </w:r>
    </w:p>
    <w:p>
      <w:pPr>
        <w:pBdr>
          <w:bottom w:val="single" w:color="00A1FD" w:sz="18"/>
        </w:pBdr>
        <w:spacing w:after="160"/>
      </w:pPr>
      <w:r>
        <w:rPr>
          <w:rFonts w:ascii="Arial" w:cs="Arial" w:eastAsia="Arial" w:hAnsi="Arial"/>
          <w:sz w:val="2"/>
          <w:szCs w:val="2"/>
        </w:rPr>
        <w:t xml:space="preserve"/>
      </w:r>
    </w:p>
    <w:p>
      <w:pPr>
        <w:spacing w:after="120" w:line="276"/>
      </w:pPr>
      <w:r>
        <w:rPr>
          <w:rFonts w:ascii="Arial" w:cs="Arial" w:eastAsia="Arial" w:hAnsi="Arial"/>
          <w:color w:val="1A2233"/>
          <w:sz w:val="21"/>
          <w:szCs w:val="21"/>
        </w:rPr>
        <w:t xml:space="preserve">This is your final project: a complete, working product — the kind a real company would put in front of its team. You’ll design it, build it, and present it, on your own, over the week. Everything you need is in this brief and the data that comes with it. You’ll build it with AI tools — that’s expected — and what matters is that the product works and that you can explain every part of it.</w:t>
      </w:r>
    </w:p>
    <w:p>
      <w:pPr>
        <w:keepNext/>
        <w:spacing w:after="80" w:before="240"/>
      </w:pPr>
      <w:r>
        <w:rPr>
          <w:rFonts w:ascii="Arial" w:cs="Arial" w:eastAsia="Arial" w:hAnsi="Arial"/>
          <w:b/>
          <w:bCs/>
          <w:color w:val="04214B"/>
          <w:sz w:val="26"/>
          <w:szCs w:val="26"/>
        </w:rPr>
        <w:t xml:space="preserve">The brief</w:t>
      </w:r>
    </w:p>
    <w:p>
      <w:pPr>
        <w:spacing w:after="120" w:line="276"/>
      </w:pPr>
      <w:r>
        <w:rPr>
          <w:rFonts w:ascii="Arial" w:cs="Arial" w:eastAsia="Arial" w:hAnsi="Arial"/>
          <w:color w:val="1A2233"/>
          <w:sz w:val="21"/>
          <w:szCs w:val="21"/>
        </w:rPr>
        <w:t xml:space="preserve">Skip Studio is a creative agency running campaigns for many clients at once — each with its own brand voice, audience, and rules. Today every campaign is planned and written by hand: collect the brief, research, brainstorm, draft the captions and the calendar, then rounds of internal review and client approval before anything is published. It’s slow, quality varies by who wrote it, keeping each client’s voice straight is hard, and the agency can’t take on more clients without more people. Your product does the production work: it reads a campaign brief, grounds everything in that client’s brand guide and the agency’s rules, drafts the full content plan for the routine campaigns, asks when a brief is incomplete, flags anything off-brand or non-compliant — and never lets a single post reach a channel without internal review and client approval. It’s a content operations product with people still in control of what ships.</w:t>
      </w:r>
    </w:p>
    <w:p>
      <w:pPr>
        <w:spacing w:after="120"/>
      </w:pPr>
      <w:r>
        <w:rPr>
          <w:rFonts w:ascii="Arial" w:cs="Arial" w:eastAsia="Arial" w:hAnsi="Arial"/>
          <w:b/>
          <w:bCs/>
          <w:color w:val="04214B"/>
          <w:sz w:val="21"/>
          <w:szCs w:val="21"/>
        </w:rPr>
        <w:t xml:space="preserve">Get to know the company: </w:t>
      </w:r>
      <w:hyperlink w:history="1" r:id="rIdhodib35cifstk3ds4fe-1">
        <w:r>
          <w:rPr>
            <w:rFonts w:ascii="Arial" w:cs="Arial" w:eastAsia="Arial" w:hAnsi="Arial"/>
            <w:color w:val="00A1FD"/>
            <w:sz w:val="21"/>
            <w:szCs w:val="21"/>
            <w:u w:val="single"/>
          </w:rPr>
          <w:t xml:space="preserve">https://skipstudio.net/</w:t>
        </w:r>
      </w:hyperlink>
    </w:p>
    <w:p>
      <w:pPr>
        <w:keepNext/>
        <w:spacing w:after="80" w:before="240"/>
      </w:pPr>
      <w:r>
        <w:rPr>
          <w:rFonts w:ascii="Arial" w:cs="Arial" w:eastAsia="Arial" w:hAnsi="Arial"/>
          <w:b/>
          <w:bCs/>
          <w:color w:val="04214B"/>
          <w:sz w:val="26"/>
          <w:szCs w:val="26"/>
        </w:rPr>
        <w:t xml:space="preserve">How the product decides</w:t>
      </w:r>
    </w:p>
    <w:tbl>
      <w:tblPr>
        <w:tblW w:type="dxa" w:w="9360"/>
        <w:tblBorders>
          <w:top w:val="single" w:color="04214B" w:sz="8"/>
          <w:left w:val="single" w:color="04214B" w:sz="8"/>
          <w:bottom w:val="single" w:color="04214B" w:sz="8"/>
          <w:right w:val="single" w:color="04214B" w:sz="8"/>
          <w:insideH w:val="single" w:color="auto" w:sz="4"/>
          <w:insideV w:val="single" w:color="auto" w:sz="4"/>
        </w:tblBorders>
      </w:tblPr>
      <w:tblGrid>
        <w:gridCol w:w="9360"/>
      </w:tblGrid>
      <w:tr>
        <w:trPr>
          <w:cantSplit/>
        </w:trPr>
        <w:tc>
          <w:tcPr>
            <w:tcW w:type="dxa" w:w="9360"/>
            <w:shd w:fill="04214B" w:val="clear"/>
            <w:tcMar>
              <w:top w:type="dxa" w:w="150"/>
              <w:left w:type="dxa" w:w="210"/>
              <w:bottom w:type="dxa" w:w="150"/>
              <w:right w:type="dxa" w:w="210"/>
            </w:tcMar>
          </w:tcPr>
          <w:p>
            <w:pPr>
              <w:spacing w:after="70"/>
            </w:pPr>
            <w:r>
              <w:rPr>
                <w:rFonts w:ascii="Arial" w:cs="Arial" w:eastAsia="Arial" w:hAnsi="Arial"/>
                <w:b/>
                <w:bCs/>
                <w:color w:val="4BD1FB"/>
                <w:sz w:val="21"/>
                <w:szCs w:val="21"/>
              </w:rPr>
              <w:t xml:space="preserve">→  </w:t>
            </w:r>
            <w:r>
              <w:rPr>
                <w:rFonts w:ascii="Arial" w:cs="Arial" w:eastAsia="Arial" w:hAnsi="Arial"/>
                <w:color w:val="FFFFFF"/>
                <w:sz w:val="21"/>
                <w:szCs w:val="21"/>
              </w:rPr>
              <w:t xml:space="preserve">It reads a campaign brief and pulls out what matters — the client, the objective, the audience, the channels, the deliverables.</w:t>
            </w:r>
          </w:p>
          <w:p>
            <w:pPr>
              <w:spacing w:after="70"/>
            </w:pPr>
            <w:r>
              <w:rPr>
                <w:rFonts w:ascii="Arial" w:cs="Arial" w:eastAsia="Arial" w:hAnsi="Arial"/>
                <w:b/>
                <w:bCs/>
                <w:color w:val="4BD1FB"/>
                <w:sz w:val="21"/>
                <w:szCs w:val="21"/>
              </w:rPr>
              <w:t xml:space="preserve">→  </w:t>
            </w:r>
            <w:r>
              <w:rPr>
                <w:rFonts w:ascii="Arial" w:cs="Arial" w:eastAsia="Arial" w:hAnsi="Arial"/>
                <w:color w:val="FFFFFF"/>
                <w:sz w:val="21"/>
                <w:szCs w:val="21"/>
              </w:rPr>
              <w:t xml:space="preserve">It looks up the client on the roster — their status, channels, and which brand guide governs them.</w:t>
            </w:r>
          </w:p>
          <w:p>
            <w:pPr>
              <w:spacing w:after="70"/>
            </w:pPr>
            <w:r>
              <w:rPr>
                <w:rFonts w:ascii="Arial" w:cs="Arial" w:eastAsia="Arial" w:hAnsi="Arial"/>
                <w:b/>
                <w:bCs/>
                <w:color w:val="4BD1FB"/>
                <w:sz w:val="21"/>
                <w:szCs w:val="21"/>
              </w:rPr>
              <w:t xml:space="preserve">→  </w:t>
            </w:r>
            <w:r>
              <w:rPr>
                <w:rFonts w:ascii="Arial" w:cs="Arial" w:eastAsia="Arial" w:hAnsi="Arial"/>
                <w:color w:val="FFFFFF"/>
                <w:sz w:val="21"/>
                <w:szCs w:val="21"/>
              </w:rPr>
              <w:t xml:space="preserve">It searches the brand guide and the agency standards for the rules that apply — and works from those, not from memory.</w:t>
            </w:r>
          </w:p>
          <w:p>
            <w:pPr>
              <w:spacing w:after="70"/>
            </w:pPr>
            <w:r>
              <w:rPr>
                <w:rFonts w:ascii="Arial" w:cs="Arial" w:eastAsia="Arial" w:hAnsi="Arial"/>
                <w:b/>
                <w:bCs/>
                <w:color w:val="4BD1FB"/>
                <w:sz w:val="21"/>
                <w:szCs w:val="21"/>
              </w:rPr>
              <w:t xml:space="preserve">→  </w:t>
            </w:r>
            <w:r>
              <w:rPr>
                <w:rFonts w:ascii="Arial" w:cs="Arial" w:eastAsia="Arial" w:hAnsi="Arial"/>
                <w:color w:val="FFFFFF"/>
                <w:sz w:val="21"/>
                <w:szCs w:val="21"/>
              </w:rPr>
              <w:t xml:space="preserve">It drafts the content plan — calendar, captions, copy — in that client’s voice, within their rules.</w:t>
            </w:r>
          </w:p>
          <w:p>
            <w:pPr>
              <w:spacing w:after="70"/>
            </w:pPr>
            <w:r>
              <w:rPr>
                <w:rFonts w:ascii="Arial" w:cs="Arial" w:eastAsia="Arial" w:hAnsi="Arial"/>
                <w:b/>
                <w:bCs/>
                <w:color w:val="4BD1FB"/>
                <w:sz w:val="21"/>
                <w:szCs w:val="21"/>
              </w:rPr>
              <w:t xml:space="preserve">→  </w:t>
            </w:r>
            <w:r>
              <w:rPr>
                <w:rFonts w:ascii="Arial" w:cs="Arial" w:eastAsia="Arial" w:hAnsi="Arial"/>
                <w:color w:val="FFFFFF"/>
                <w:sz w:val="21"/>
                <w:szCs w:val="21"/>
              </w:rPr>
              <w:t xml:space="preserve">It decides within limits it can’t be talked out of: draft and queue a clean brief, ask when information is missing, flag a violation with the rule it breaks.</w:t>
            </w:r>
          </w:p>
          <w:p>
            <w:pPr>
              <w:spacing w:after="70"/>
            </w:pPr>
            <w:r>
              <w:rPr>
                <w:rFonts w:ascii="Arial" w:cs="Arial" w:eastAsia="Arial" w:hAnsi="Arial"/>
                <w:b/>
                <w:bCs/>
                <w:color w:val="4BD1FB"/>
                <w:sz w:val="21"/>
                <w:szCs w:val="21"/>
              </w:rPr>
              <w:t xml:space="preserve">→  </w:t>
            </w:r>
            <w:r>
              <w:rPr>
                <w:rFonts w:ascii="Arial" w:cs="Arial" w:eastAsia="Arial" w:hAnsi="Arial"/>
                <w:color w:val="FFFFFF"/>
                <w:sz w:val="21"/>
                <w:szCs w:val="21"/>
              </w:rPr>
              <w:t xml:space="preserve">It schedules nothing — ever — until internal review and client approval are both recorded.</w:t>
            </w:r>
          </w:p>
        </w:tc>
      </w:tr>
    </w:tbl>
    <w:p>
      <w:pPr>
        <w:spacing w:after="120"/>
      </w:pPr>
    </w:p>
    <w:p>
      <w:pPr>
        <w:spacing w:after="120"/>
      </w:pPr>
    </w:p>
    <w:p>
      <w:pPr>
        <w:keepNext/>
        <w:spacing w:after="80" w:before="240"/>
      </w:pPr>
      <w:r>
        <w:rPr>
          <w:rFonts w:ascii="Arial" w:cs="Arial" w:eastAsia="Arial" w:hAnsi="Arial"/>
          <w:b/>
          <w:bCs/>
          <w:color w:val="04214B"/>
          <w:sz w:val="26"/>
          <w:szCs w:val="26"/>
        </w:rPr>
        <w:t xml:space="preserve">Ground rules</w:t>
      </w:r>
    </w:p>
    <w:tbl>
      <w:tblPr>
        <w:tblW w:type="dxa" w:w="9360"/>
        <w:tblBorders>
          <w:top w:val="single" w:color="00A1FD" w:sz="8"/>
          <w:left w:val="single" w:color="00A1FD" w:sz="8"/>
          <w:bottom w:val="single" w:color="00A1FD" w:sz="8"/>
          <w:right w:val="single" w:color="00A1FD" w:sz="8"/>
          <w:insideH w:val="single" w:color="auto" w:sz="4"/>
          <w:insideV w:val="single" w:color="auto" w:sz="4"/>
        </w:tblBorders>
      </w:tblPr>
      <w:tblGrid>
        <w:gridCol w:w="9360"/>
      </w:tblGrid>
      <w:tr>
        <w:trPr>
          <w:cantSplit/>
        </w:trPr>
        <w:tc>
          <w:tcPr>
            <w:tcW w:type="dxa" w:w="9360"/>
            <w:shd w:fill="EAF6FF" w:val="clear"/>
            <w:tcMar>
              <w:top w:type="dxa" w:w="150"/>
              <w:left w:type="dxa" w:w="210"/>
              <w:bottom w:type="dxa" w:w="150"/>
              <w:right w:type="dxa" w:w="210"/>
            </w:tcMar>
          </w:tcPr>
          <w:p>
            <w:pPr>
              <w:pStyle w:val="ListParagraph"/>
              <w:numPr>
                <w:ilvl w:val="0"/>
                <w:numId w:val="2"/>
              </w:numPr>
              <w:spacing w:after="90" w:line="268"/>
            </w:pPr>
            <w:r>
              <w:rPr>
                <w:rFonts w:ascii="Arial" w:cs="Arial" w:eastAsia="Arial" w:hAnsi="Arial"/>
                <w:b/>
                <w:bCs/>
                <w:color w:val="04214B"/>
                <w:sz w:val="21"/>
                <w:szCs w:val="21"/>
              </w:rPr>
              <w:t xml:space="preserve">It lives on GitHub. </w:t>
            </w:r>
            <w:r>
              <w:rPr>
                <w:rFonts w:ascii="Arial" w:cs="Arial" w:eastAsia="Arial" w:hAnsi="Arial"/>
                <w:color w:val="1A2233"/>
                <w:sz w:val="21"/>
                <w:szCs w:val="21"/>
              </w:rPr>
              <w:t xml:space="preserve">Your work sits in a Git repository (public or private) with a README that says how to run it, and commits made as you go — not one big upload at the end.</w:t>
            </w:r>
          </w:p>
          <w:p>
            <w:pPr>
              <w:pStyle w:val="ListParagraph"/>
              <w:numPr>
                <w:ilvl w:val="0"/>
                <w:numId w:val="2"/>
              </w:numPr>
              <w:spacing w:after="90" w:line="268"/>
            </w:pPr>
            <w:r>
              <w:rPr>
                <w:rFonts w:ascii="Arial" w:cs="Arial" w:eastAsia="Arial" w:hAnsi="Arial"/>
                <w:b/>
                <w:bCs/>
                <w:color w:val="04214B"/>
                <w:sz w:val="21"/>
                <w:szCs w:val="21"/>
              </w:rPr>
              <w:t xml:space="preserve">Design before you build. </w:t>
            </w:r>
            <w:r>
              <w:rPr>
                <w:rFonts w:ascii="Arial" w:cs="Arial" w:eastAsia="Arial" w:hAnsi="Arial"/>
                <w:color w:val="1A2233"/>
                <w:sz w:val="21"/>
                <w:szCs w:val="21"/>
              </w:rPr>
              <w:t xml:space="preserve">Three short design documents come first and are part of what you hand in — the PRD, the System Architecture, and the Data Schema (ERD), described below.</w:t>
            </w:r>
          </w:p>
          <w:p>
            <w:pPr>
              <w:pStyle w:val="ListParagraph"/>
              <w:numPr>
                <w:ilvl w:val="0"/>
                <w:numId w:val="2"/>
              </w:numPr>
              <w:spacing w:after="90" w:line="268"/>
            </w:pPr>
            <w:r>
              <w:rPr>
                <w:rFonts w:ascii="Arial" w:cs="Arial" w:eastAsia="Arial" w:hAnsi="Arial"/>
                <w:b/>
                <w:bCs/>
                <w:color w:val="04214B"/>
                <w:sz w:val="21"/>
                <w:szCs w:val="21"/>
              </w:rPr>
              <w:t xml:space="preserve">Use AI tools — and own what they produce. </w:t>
            </w:r>
            <w:r>
              <w:rPr>
                <w:rFonts w:ascii="Arial" w:cs="Arial" w:eastAsia="Arial" w:hAnsi="Arial"/>
                <w:color w:val="1A2233"/>
                <w:sz w:val="21"/>
                <w:szCs w:val="21"/>
              </w:rPr>
              <w:t xml:space="preserve">You’re expected to build this with AI assistance. But every part of it is yours to explain: what it does, why a plan came out the way it did, and which rule each decision leaned on. Don’t ship what you can’t explain.</w:t>
            </w:r>
          </w:p>
          <w:p>
            <w:pPr>
              <w:pStyle w:val="ListParagraph"/>
              <w:numPr>
                <w:ilvl w:val="0"/>
                <w:numId w:val="2"/>
              </w:numPr>
              <w:spacing w:after="90" w:line="268"/>
            </w:pPr>
            <w:r>
              <w:rPr>
                <w:rFonts w:ascii="Arial" w:cs="Arial" w:eastAsia="Arial" w:hAnsi="Arial"/>
                <w:b/>
                <w:bCs/>
                <w:color w:val="04214B"/>
                <w:sz w:val="21"/>
                <w:szCs w:val="21"/>
              </w:rPr>
              <w:t xml:space="preserve">Present it at the end. </w:t>
            </w:r>
            <w:r>
              <w:rPr>
                <w:rFonts w:ascii="Arial" w:cs="Arial" w:eastAsia="Arial" w:hAnsi="Arial"/>
                <w:color w:val="1A2233"/>
                <w:sz w:val="21"/>
                <w:szCs w:val="21"/>
              </w:rPr>
              <w:t xml:space="preserve">You’ll show your product live to the group and talk through how you built it.</w:t>
            </w:r>
          </w:p>
        </w:tc>
      </w:tr>
    </w:tbl>
    <w:p>
      <w:pPr>
        <w:spacing w:after="120"/>
      </w:pPr>
    </w:p>
    <w:p>
      <w:pPr>
        <w:keepNext/>
        <w:spacing w:after="80" w:before="240"/>
      </w:pPr>
      <w:r>
        <w:rPr>
          <w:rFonts w:ascii="Arial" w:cs="Arial" w:eastAsia="Arial" w:hAnsi="Arial"/>
          <w:b/>
          <w:bCs/>
          <w:color w:val="04214B"/>
          <w:sz w:val="26"/>
          <w:szCs w:val="26"/>
        </w:rPr>
        <w:t xml:space="preserve">Start by designing it</w:t>
      </w:r>
    </w:p>
    <w:p>
      <w:pPr>
        <w:spacing w:after="120" w:line="276"/>
      </w:pPr>
      <w:r>
        <w:rPr>
          <w:rFonts w:ascii="Arial" w:cs="Arial" w:eastAsia="Arial" w:hAnsi="Arial"/>
          <w:color w:val="1A2233"/>
          <w:sz w:val="21"/>
          <w:szCs w:val="21"/>
        </w:rPr>
        <w:t xml:space="preserve">Before you build, produce these three. Keep each short — together they should be enough that someone else could build the right product from them.</w:t>
      </w:r>
    </w:p>
    <w:tbl>
      <w:tblPr>
        <w:tblW w:type="dxa" w:w="9360"/>
        <w:tblBorders>
          <w:top w:val="single" w:color="00A1FD" w:sz="8"/>
          <w:left w:val="single" w:color="00A1FD" w:sz="8"/>
          <w:bottom w:val="single" w:color="00A1FD" w:sz="8"/>
          <w:right w:val="single" w:color="00A1FD" w:sz="8"/>
          <w:insideH w:val="single" w:color="auto" w:sz="4"/>
          <w:insideV w:val="single" w:color="auto" w:sz="4"/>
        </w:tblBorders>
      </w:tblPr>
      <w:tblGrid>
        <w:gridCol w:w="9360"/>
      </w:tblGrid>
      <w:tr>
        <w:trPr>
          <w:cantSplit/>
        </w:trPr>
        <w:tc>
          <w:tcPr>
            <w:tcW w:type="dxa" w:w="9360"/>
            <w:shd w:fill="EAF6FF" w:val="clear"/>
            <w:tcMar>
              <w:top w:type="dxa" w:w="150"/>
              <w:left w:type="dxa" w:w="210"/>
              <w:bottom w:type="dxa" w:w="150"/>
              <w:right w:type="dxa" w:w="210"/>
            </w:tcMar>
          </w:tcPr>
          <w:p>
            <w:pPr>
              <w:pStyle w:val="ListParagraph"/>
              <w:numPr>
                <w:ilvl w:val="0"/>
                <w:numId w:val="2"/>
              </w:numPr>
              <w:spacing w:after="90" w:line="268"/>
            </w:pPr>
            <w:r>
              <w:rPr>
                <w:rFonts w:ascii="Arial" w:cs="Arial" w:eastAsia="Arial" w:hAnsi="Arial"/>
                <w:b/>
                <w:bCs/>
                <w:color w:val="04214B"/>
                <w:sz w:val="21"/>
                <w:szCs w:val="21"/>
              </w:rPr>
              <w:t xml:space="preserve">PRD (Product Requirements Document). </w:t>
            </w:r>
            <w:r>
              <w:rPr>
                <w:rFonts w:ascii="Arial" w:cs="Arial" w:eastAsia="Arial" w:hAnsi="Arial"/>
                <w:color w:val="1A2233"/>
                <w:sz w:val="21"/>
                <w:szCs w:val="21"/>
              </w:rPr>
              <w:t xml:space="preserve">What you’re building and why: the goal, who uses it, what it must do, and what “done” looks like. Plain language, no technology.</w:t>
            </w:r>
          </w:p>
          <w:p>
            <w:pPr>
              <w:pStyle w:val="ListParagraph"/>
              <w:numPr>
                <w:ilvl w:val="0"/>
                <w:numId w:val="2"/>
              </w:numPr>
              <w:spacing w:after="90" w:line="268"/>
            </w:pPr>
            <w:r>
              <w:rPr>
                <w:rFonts w:ascii="Arial" w:cs="Arial" w:eastAsia="Arial" w:hAnsi="Arial"/>
                <w:b/>
                <w:bCs/>
                <w:color w:val="04214B"/>
                <w:sz w:val="21"/>
                <w:szCs w:val="21"/>
              </w:rPr>
              <w:t xml:space="preserve">System Architecture. </w:t>
            </w:r>
            <w:r>
              <w:rPr>
                <w:rFonts w:ascii="Arial" w:cs="Arial" w:eastAsia="Arial" w:hAnsi="Arial"/>
                <w:color w:val="1A2233"/>
                <w:sz w:val="21"/>
                <w:szCs w:val="21"/>
              </w:rPr>
              <w:t xml:space="preserve">The parts of your product — the campaign intake, the content engine, the two-stage review screen, and the data and knowledge behind them — and how a campaign flows through them.</w:t>
            </w:r>
          </w:p>
          <w:p>
            <w:pPr>
              <w:pStyle w:val="ListParagraph"/>
              <w:numPr>
                <w:ilvl w:val="0"/>
                <w:numId w:val="2"/>
              </w:numPr>
              <w:spacing w:after="90" w:line="268"/>
            </w:pPr>
            <w:r>
              <w:rPr>
                <w:rFonts w:ascii="Arial" w:cs="Arial" w:eastAsia="Arial" w:hAnsi="Arial"/>
                <w:b/>
                <w:bCs/>
                <w:color w:val="04214B"/>
                <w:sz w:val="21"/>
                <w:szCs w:val="21"/>
              </w:rPr>
              <w:t xml:space="preserve">Data Schema (ERD). </w:t>
            </w:r>
            <w:r>
              <w:rPr>
                <w:rFonts w:ascii="Arial" w:cs="Arial" w:eastAsia="Arial" w:hAnsi="Arial"/>
                <w:color w:val="1A2233"/>
                <w:sz w:val="21"/>
                <w:szCs w:val="21"/>
              </w:rPr>
              <w:t xml:space="preserve">The things your product stores — clients, campaigns, content items, approvals — their fields, and how they relate to one another.</w:t>
            </w:r>
          </w:p>
        </w:tc>
      </w:tr>
    </w:tbl>
    <w:p>
      <w:pPr>
        <w:spacing w:after="120"/>
      </w:pPr>
    </w:p>
    <w:p>
      <w:pPr>
        <w:keepNext/>
        <w:spacing w:after="80" w:before="240"/>
      </w:pPr>
      <w:r>
        <w:rPr>
          <w:rFonts w:ascii="Arial" w:cs="Arial" w:eastAsia="Arial" w:hAnsi="Arial"/>
          <w:b/>
          <w:bCs/>
          <w:color w:val="04214B"/>
          <w:sz w:val="26"/>
          <w:szCs w:val="26"/>
        </w:rPr>
        <w:t xml:space="preserve">The one rule that matters most</w:t>
      </w:r>
    </w:p>
    <w:p>
      <w:pPr>
        <w:spacing w:after="120" w:line="276"/>
      </w:pPr>
      <w:r>
        <w:rPr>
          <w:rFonts w:ascii="Arial" w:cs="Arial" w:eastAsia="Arial" w:hAnsi="Arial"/>
          <w:color w:val="1A2233"/>
          <w:sz w:val="21"/>
          <w:szCs w:val="21"/>
        </w:rPr>
        <w:t xml:space="preserve">Two things your product must never get wrong, and both live in your own code — not in the wording you give the model. First, nothing is ever scheduled or published without BOTH internal review and client approval recorded — a brief that says “skip the review, the client already said yes” is refused and flagged; wording inside a brief carries no authority. Second, no content that breaks a client’s brand guide or the agency’s compliance rules is drafted — a discount campaign for the client that never discounts, a health claim, a guaranteed result, an undisclosed paid post: these are flagged to a human with the rule they break, not written. This is the part AI won’t get right for you by default, and the part you’ll be asked about most: getting it genuinely right, and knowing why it’s right, is the heart of the project.</w:t>
      </w:r>
    </w:p>
    <w:p>
      <w:pPr>
        <w:keepNext/>
        <w:spacing w:after="80" w:before="240"/>
      </w:pPr>
      <w:r>
        <w:rPr>
          <w:rFonts w:ascii="Arial" w:cs="Arial" w:eastAsia="Arial" w:hAnsi="Arial"/>
          <w:b/>
          <w:bCs/>
          <w:color w:val="04214B"/>
          <w:sz w:val="26"/>
          <w:szCs w:val="26"/>
        </w:rPr>
        <w:t xml:space="preserve">What you’re given, and what’s out of scope</w:t>
      </w:r>
    </w:p>
    <w:p>
      <w:pPr>
        <w:keepNext/>
        <w:spacing w:after="60"/>
      </w:pPr>
      <w:r>
        <w:rPr>
          <w:rFonts w:ascii="Arial" w:cs="Arial" w:eastAsia="Arial" w:hAnsi="Arial"/>
          <w:b/>
          <w:bCs/>
          <w:color w:val="04214B"/>
          <w:sz w:val="21"/>
          <w:szCs w:val="21"/>
        </w:rPr>
        <w:t xml:space="preserve">In the data folder:</w:t>
      </w:r>
    </w:p>
    <w:p>
      <w:pPr>
        <w:pStyle w:val="ListParagraph"/>
        <w:numPr>
          <w:ilvl w:val="0"/>
          <w:numId w:val="2"/>
        </w:numPr>
        <w:spacing w:after="90" w:line="268"/>
      </w:pPr>
      <w:r>
        <w:rPr>
          <w:rFonts w:ascii="Arial" w:cs="Arial" w:eastAsia="Arial" w:hAnsi="Arial"/>
          <w:b/>
          <w:bCs/>
          <w:color w:val="1A2233"/>
          <w:sz w:val="21"/>
          <w:szCs w:val="21"/>
        </w:rPr>
        <w:t xml:space="preserve">The guidelines library — the rules your product grounds in. </w:t>
      </w:r>
      <w:r>
        <w:rPr>
          <w:rFonts w:ascii="Arial" w:cs="Arial" w:eastAsia="Arial" w:hAnsi="Arial"/>
          <w:color w:val="1A2233"/>
          <w:sz w:val="21"/>
          <w:szCs w:val="21"/>
        </w:rPr>
        <w:t xml:space="preserve">The agency standards handbook (the pipeline and approval gate, the compliance rules, platform conventions — twenty numbered clauses) plus eight per-client brand guides with each client’s voice, audience, dos and don’ts, and restricted topics — around forty brand rules. Too long to hand to the model in one go, so your product searches it and works from the rule it finds — and the right rule depends on the client: the discount that’s core to one brand is forbidden for another.</w:t>
      </w:r>
    </w:p>
    <w:p>
      <w:pPr>
        <w:pStyle w:val="ListParagraph"/>
        <w:numPr>
          <w:ilvl w:val="0"/>
          <w:numId w:val="2"/>
        </w:numPr>
        <w:spacing w:after="90" w:line="268"/>
      </w:pPr>
      <w:r>
        <w:rPr>
          <w:rFonts w:ascii="Arial" w:cs="Arial" w:eastAsia="Arial" w:hAnsi="Arial"/>
          <w:b/>
          <w:bCs/>
          <w:color w:val="1A2233"/>
          <w:sz w:val="21"/>
          <w:szCs w:val="21"/>
        </w:rPr>
        <w:t xml:space="preserve">The client roster — 150 clients in one file, looked up by id. </w:t>
      </w:r>
      <w:r>
        <w:rPr>
          <w:rFonts w:ascii="Arial" w:cs="Arial" w:eastAsia="Arial" w:hAnsi="Arial"/>
          <w:color w:val="1A2233"/>
          <w:sz w:val="21"/>
          <w:szCs w:val="21"/>
        </w:rPr>
        <w:t xml:space="preserve">Each carries the name, industry, status (active or inactive), tier, channels, which brand guide governs them, and the account manager — so your product knows who a brief belongs to and whether content may be produced for them at all.</w:t>
      </w:r>
    </w:p>
    <w:p>
      <w:pPr>
        <w:pStyle w:val="ListParagraph"/>
        <w:numPr>
          <w:ilvl w:val="0"/>
          <w:numId w:val="2"/>
        </w:numPr>
        <w:spacing w:after="90" w:line="268"/>
      </w:pPr>
      <w:r>
        <w:rPr>
          <w:rFonts w:ascii="Arial" w:cs="Arial" w:eastAsia="Arial" w:hAnsi="Arial"/>
          <w:b/>
          <w:bCs/>
          <w:color w:val="1A2233"/>
          <w:sz w:val="21"/>
          <w:szCs w:val="21"/>
        </w:rPr>
        <w:t xml:space="preserve">The campaign briefs — 27 briefs, each as plain text. </w:t>
      </w:r>
      <w:r>
        <w:rPr>
          <w:rFonts w:ascii="Arial" w:cs="Arial" w:eastAsia="Arial" w:hAnsi="Arial"/>
          <w:color w:val="1A2233"/>
          <w:sz w:val="21"/>
          <w:szCs w:val="21"/>
        </w:rPr>
        <w:t xml:space="preserve">Client, title, objective, audience, channels, deliverables and notes. This is your product’s input, and it seeds your test set. The set spans every client and each decision your product must make: draft-and-queue, request missing information, flag a brand or compliance violation — and a brief that tries to skip the approvals.</w:t>
      </w:r>
    </w:p>
    <w:p>
      <w:pPr>
        <w:keepNext/>
        <w:spacing w:after="60" w:before="110"/>
      </w:pPr>
      <w:r>
        <w:rPr>
          <w:rFonts w:ascii="Arial" w:cs="Arial" w:eastAsia="Arial" w:hAnsi="Arial"/>
          <w:b/>
          <w:bCs/>
          <w:color w:val="04214B"/>
          <w:sz w:val="21"/>
          <w:szCs w:val="21"/>
        </w:rPr>
        <w:t xml:space="preserve">Out of scope — don’t build these:</w:t>
      </w:r>
    </w:p>
    <w:p>
      <w:pPr>
        <w:pStyle w:val="ListParagraph"/>
        <w:numPr>
          <w:ilvl w:val="0"/>
          <w:numId w:val="2"/>
        </w:numPr>
        <w:spacing w:after="90" w:line="268"/>
      </w:pPr>
      <w:r>
        <w:rPr>
          <w:rFonts w:ascii="Arial" w:cs="Arial" w:eastAsia="Arial" w:hAnsi="Arial"/>
          <w:color w:val="1A2233"/>
          <w:sz w:val="21"/>
          <w:szCs w:val="21"/>
        </w:rPr>
        <w:t xml:space="preserve">Real publishing — no live social accounts; the scheduler is your own store, shown on screen.</w:t>
      </w:r>
    </w:p>
    <w:p>
      <w:pPr>
        <w:pStyle w:val="ListParagraph"/>
        <w:numPr>
          <w:ilvl w:val="0"/>
          <w:numId w:val="2"/>
        </w:numPr>
        <w:spacing w:after="90" w:line="268"/>
      </w:pPr>
      <w:r>
        <w:rPr>
          <w:rFonts w:ascii="Arial" w:cs="Arial" w:eastAsia="Arial" w:hAnsi="Arial"/>
          <w:color w:val="1A2233"/>
          <w:sz w:val="21"/>
          <w:szCs w:val="21"/>
        </w:rPr>
        <w:t xml:space="preserve">Image and video generation — your product writes creative prompts and scripts, not the assets themselves.</w:t>
      </w:r>
    </w:p>
    <w:p>
      <w:pPr>
        <w:pStyle w:val="ListParagraph"/>
        <w:numPr>
          <w:ilvl w:val="0"/>
          <w:numId w:val="2"/>
        </w:numPr>
        <w:spacing w:after="90" w:line="268"/>
      </w:pPr>
      <w:r>
        <w:rPr>
          <w:rFonts w:ascii="Arial" w:cs="Arial" w:eastAsia="Arial" w:hAnsi="Arial"/>
          <w:color w:val="1A2233"/>
          <w:sz w:val="21"/>
          <w:szCs w:val="21"/>
        </w:rPr>
        <w:t xml:space="preserve">Performance analytics — no engagement metrics or campaign ROI; the operational summary counts your own pipeline only.</w:t>
      </w:r>
    </w:p>
    <w:p>
      <w:pPr>
        <w:spacing w:after="120"/>
      </w:pPr>
    </w:p>
    <w:p>
      <w:pPr>
        <w:keepNext/>
        <w:spacing w:after="80" w:before="240"/>
      </w:pPr>
      <w:r>
        <w:rPr>
          <w:rFonts w:ascii="Arial" w:cs="Arial" w:eastAsia="Arial" w:hAnsi="Arial"/>
          <w:b/>
          <w:bCs/>
          <w:color w:val="04214B"/>
          <w:sz w:val="26"/>
          <w:szCs w:val="26"/>
        </w:rPr>
        <w:t xml:space="preserve">What your product must do</w:t>
      </w:r>
    </w:p>
    <w:p>
      <w:pPr>
        <w:spacing w:after="120" w:line="276"/>
      </w:pPr>
      <w:r>
        <w:rPr>
          <w:rFonts w:ascii="Arial" w:cs="Arial" w:eastAsia="Arial" w:hAnsi="Arial"/>
          <w:color w:val="1A2233"/>
          <w:sz w:val="21"/>
          <w:szCs w:val="21"/>
        </w:rPr>
        <w:t xml:space="preserve">All of the following are required.</w:t>
      </w:r>
    </w:p>
    <w:p>
      <w:pPr>
        <w:pStyle w:val="ListParagraph"/>
        <w:numPr>
          <w:ilvl w:val="0"/>
          <w:numId w:val="2"/>
        </w:numPr>
        <w:spacing w:after="90" w:line="268"/>
      </w:pPr>
      <w:r>
        <w:rPr>
          <w:rFonts w:ascii="Arial" w:cs="Arial" w:eastAsia="Arial" w:hAnsi="Arial"/>
          <w:b/>
          <w:bCs/>
          <w:color w:val="04214B"/>
          <w:sz w:val="21"/>
          <w:szCs w:val="21"/>
        </w:rPr>
        <w:t xml:space="preserve">Take campaigns in through an intake. </w:t>
      </w:r>
      <w:r>
        <w:rPr>
          <w:rFonts w:ascii="Arial" w:cs="Arial" w:eastAsia="Arial" w:hAnsi="Arial"/>
          <w:color w:val="1A2233"/>
          <w:sz w:val="21"/>
          <w:szCs w:val="21"/>
        </w:rPr>
        <w:t xml:space="preserve">A campaign enters the product as a brief — through a form or by picking one from the incoming queue. The product reads it and pulls out the client, objective, audience, channels, and deliverables, ready for the engine.</w:t>
      </w:r>
    </w:p>
    <w:p>
      <w:pPr>
        <w:pStyle w:val="ListParagraph"/>
        <w:numPr>
          <w:ilvl w:val="0"/>
          <w:numId w:val="2"/>
        </w:numPr>
        <w:spacing w:after="90" w:line="268"/>
      </w:pPr>
      <w:r>
        <w:rPr>
          <w:rFonts w:ascii="Arial" w:cs="Arial" w:eastAsia="Arial" w:hAnsi="Arial"/>
          <w:b/>
          <w:bCs/>
          <w:color w:val="04214B"/>
          <w:sz w:val="21"/>
          <w:szCs w:val="21"/>
        </w:rPr>
        <w:t xml:space="preserve">Produce every campaign through the guarded engine. </w:t>
      </w:r>
      <w:r>
        <w:rPr>
          <w:rFonts w:ascii="Arial" w:cs="Arial" w:eastAsia="Arial" w:hAnsi="Arial"/>
          <w:color w:val="1A2233"/>
          <w:sz w:val="21"/>
          <w:szCs w:val="21"/>
        </w:rPr>
        <w:t xml:space="preserve">For each brief the product looks up the client, finds the governing rules in the brand guide and agency standards, and drafts the full content plan in that client’s voice — a content calendar with a weekly posting schedule, platform captions, ad and email copy, blog topics, video scripts, calls to action, hashtags, creative prompts, and A/B variants where asked. A brief missing its essentials gets a request for information, not a guess; a brief that breaks a rule gets flagged with the rule, not drafted.</w:t>
      </w:r>
    </w:p>
    <w:p>
      <w:pPr>
        <w:pStyle w:val="ListParagraph"/>
        <w:numPr>
          <w:ilvl w:val="0"/>
          <w:numId w:val="2"/>
        </w:numPr>
        <w:spacing w:after="90" w:line="268"/>
      </w:pPr>
      <w:r>
        <w:rPr>
          <w:rFonts w:ascii="Arial" w:cs="Arial" w:eastAsia="Arial" w:hAnsi="Arial"/>
          <w:b/>
          <w:bCs/>
          <w:color w:val="04214B"/>
          <w:sz w:val="21"/>
          <w:szCs w:val="21"/>
        </w:rPr>
        <w:t xml:space="preserve">Ground every piece in the client’s guide and the agency rules. </w:t>
      </w:r>
      <w:r>
        <w:rPr>
          <w:rFonts w:ascii="Arial" w:cs="Arial" w:eastAsia="Arial" w:hAnsi="Arial"/>
          <w:color w:val="1A2233"/>
          <w:sz w:val="21"/>
          <w:szCs w:val="21"/>
        </w:rPr>
        <w:t xml:space="preserve">Every draft and every decision points to the rules it worked from, and if you change a rule in a brand guide the output changes with it. The tricky pairs come out right — the flash sale that’s on-brand for one client is refused for another, “organic” only where it’s certified, superlatives only with a source.</w:t>
      </w:r>
    </w:p>
    <w:p>
      <w:pPr>
        <w:pStyle w:val="ListParagraph"/>
        <w:numPr>
          <w:ilvl w:val="0"/>
          <w:numId w:val="2"/>
        </w:numPr>
        <w:spacing w:after="90" w:line="268"/>
      </w:pPr>
      <w:r>
        <w:rPr>
          <w:rFonts w:ascii="Arial" w:cs="Arial" w:eastAsia="Arial" w:hAnsi="Arial"/>
          <w:b/>
          <w:bCs/>
          <w:color w:val="04214B"/>
          <w:sz w:val="21"/>
          <w:szCs w:val="21"/>
        </w:rPr>
        <w:t xml:space="preserve">Keep the approval gate in code, not in wording. </w:t>
      </w:r>
      <w:r>
        <w:rPr>
          <w:rFonts w:ascii="Arial" w:cs="Arial" w:eastAsia="Arial" w:hAnsi="Arial"/>
          <w:color w:val="1A2233"/>
          <w:sz w:val="21"/>
          <w:szCs w:val="21"/>
        </w:rPr>
        <w:t xml:space="preserve">Nothing is scheduled or published until internal review AND client approval are both recorded — the gate lives in your own code, so it holds whatever a brief says. A brief that tells the product to skip approvals or claims a verbal yes is refused and flagged; sensitive-sector clients (healthcare, finance) are always marked for client compliance review.</w:t>
      </w:r>
    </w:p>
    <w:p>
      <w:pPr>
        <w:pStyle w:val="ListParagraph"/>
        <w:numPr>
          <w:ilvl w:val="0"/>
          <w:numId w:val="2"/>
        </w:numPr>
        <w:spacing w:after="90" w:line="268"/>
      </w:pPr>
      <w:r>
        <w:rPr>
          <w:rFonts w:ascii="Arial" w:cs="Arial" w:eastAsia="Arial" w:hAnsi="Arial"/>
          <w:b/>
          <w:bCs/>
          <w:color w:val="04214B"/>
          <w:sz w:val="21"/>
          <w:szCs w:val="21"/>
        </w:rPr>
        <w:t xml:space="preserve">Put people in the loop through a two-stage review screen. </w:t>
      </w:r>
      <w:r>
        <w:rPr>
          <w:rFonts w:ascii="Arial" w:cs="Arial" w:eastAsia="Arial" w:hAnsi="Arial"/>
          <w:color w:val="1A2233"/>
          <w:sz w:val="21"/>
          <w:szCs w:val="21"/>
        </w:rPr>
        <w:t xml:space="preserve">A queue where the internal reviewer approves, edits, or rejects each drafted plan — with revisions tracked —, and where the client’s approval is then recorded before anything can be scheduled — with every item showing its status from drafted through to scheduled or flagged.</w:t>
      </w:r>
    </w:p>
    <w:p>
      <w:pPr>
        <w:pStyle w:val="ListParagraph"/>
        <w:numPr>
          <w:ilvl w:val="0"/>
          <w:numId w:val="2"/>
        </w:numPr>
        <w:spacing w:after="90" w:line="268"/>
      </w:pPr>
      <w:r>
        <w:rPr>
          <w:rFonts w:ascii="Arial" w:cs="Arial" w:eastAsia="Arial" w:hAnsi="Arial"/>
          <w:b/>
          <w:bCs/>
          <w:color w:val="04214B"/>
          <w:sz w:val="21"/>
          <w:szCs w:val="21"/>
        </w:rPr>
        <w:t xml:space="preserve">Show the state of the operation. </w:t>
      </w:r>
      <w:r>
        <w:rPr>
          <w:rFonts w:ascii="Arial" w:cs="Arial" w:eastAsia="Arial" w:hAnsi="Arial"/>
          <w:color w:val="1A2233"/>
          <w:sz w:val="21"/>
          <w:szCs w:val="21"/>
        </w:rPr>
        <w:t xml:space="preserve">A simple summary of the pipeline by client and status — drafted, in review, awaiting client, scheduled, flagged, or waiting on information. A counts panel, not a full dashboard.</w:t>
      </w:r>
    </w:p>
    <w:p>
      <w:pPr>
        <w:pStyle w:val="ListParagraph"/>
        <w:numPr>
          <w:ilvl w:val="0"/>
          <w:numId w:val="2"/>
        </w:numPr>
        <w:spacing w:after="90" w:line="268"/>
      </w:pPr>
      <w:r>
        <w:rPr>
          <w:rFonts w:ascii="Arial" w:cs="Arial" w:eastAsia="Arial" w:hAnsi="Arial"/>
          <w:b/>
          <w:bCs/>
          <w:color w:val="04214B"/>
          <w:sz w:val="21"/>
          <w:szCs w:val="21"/>
        </w:rPr>
        <w:t xml:space="preserve">Come designed. </w:t>
      </w:r>
      <w:r>
        <w:rPr>
          <w:rFonts w:ascii="Arial" w:cs="Arial" w:eastAsia="Arial" w:hAnsi="Arial"/>
          <w:color w:val="1A2233"/>
          <w:sz w:val="21"/>
          <w:szCs w:val="21"/>
        </w:rPr>
        <w:t xml:space="preserve">Your PRD, System Architecture, and Data Schema (ERD), written before you build.</w:t>
      </w:r>
    </w:p>
    <w:p>
      <w:pPr>
        <w:pStyle w:val="ListParagraph"/>
        <w:numPr>
          <w:ilvl w:val="0"/>
          <w:numId w:val="2"/>
        </w:numPr>
        <w:spacing w:after="90" w:line="268"/>
      </w:pPr>
      <w:r>
        <w:rPr>
          <w:rFonts w:ascii="Arial" w:cs="Arial" w:eastAsia="Arial" w:hAnsi="Arial"/>
          <w:b/>
          <w:bCs/>
          <w:color w:val="04214B"/>
          <w:sz w:val="21"/>
          <w:szCs w:val="21"/>
        </w:rPr>
        <w:t xml:space="preserve">Be proven. </w:t>
      </w:r>
      <w:r>
        <w:rPr>
          <w:rFonts w:ascii="Arial" w:cs="Arial" w:eastAsia="Arial" w:hAnsi="Arial"/>
          <w:color w:val="1A2233"/>
          <w:sz w:val="21"/>
          <w:szCs w:val="21"/>
        </w:rPr>
        <w:t xml:space="preserve">A test set of around fifteen real briefs judged on both outcome (the right decision — drafted, info requested, flagged, or refused) and process (the right steps, grounded in the right client’s rules, the gate held), with a short write-up of what passed, what failed, and why.</w:t>
      </w:r>
    </w:p>
    <w:p>
      <w:pPr>
        <w:pStyle w:val="ListParagraph"/>
        <w:numPr>
          <w:ilvl w:val="0"/>
          <w:numId w:val="2"/>
        </w:numPr>
        <w:spacing w:after="90" w:line="268"/>
      </w:pPr>
      <w:r>
        <w:rPr>
          <w:rFonts w:ascii="Arial" w:cs="Arial" w:eastAsia="Arial" w:hAnsi="Arial"/>
          <w:b/>
          <w:bCs/>
          <w:color w:val="04214B"/>
          <w:sz w:val="21"/>
          <w:szCs w:val="21"/>
        </w:rPr>
        <w:t xml:space="preserve">Live on GitHub, and be presented live. </w:t>
      </w:r>
      <w:r>
        <w:rPr>
          <w:rFonts w:ascii="Arial" w:cs="Arial" w:eastAsia="Arial" w:hAnsi="Arial"/>
          <w:color w:val="1A2233"/>
          <w:sz w:val="21"/>
          <w:szCs w:val="21"/>
        </w:rPr>
        <w:t xml:space="preserve">Committed as you go with a README, and shown to the group at the end.</w:t>
      </w:r>
    </w:p>
    <w:p>
      <w:pPr>
        <w:keepNext/>
        <w:spacing w:after="80" w:before="240"/>
      </w:pPr>
      <w:r>
        <w:rPr>
          <w:rFonts w:ascii="Arial" w:cs="Arial" w:eastAsia="Arial" w:hAnsi="Arial"/>
          <w:b/>
          <w:bCs/>
          <w:color w:val="04214B"/>
          <w:sz w:val="26"/>
          <w:szCs w:val="26"/>
        </w:rPr>
        <w:t xml:space="preserve">How you’ll present it</w:t>
      </w:r>
    </w:p>
    <w:p>
      <w:pPr>
        <w:spacing w:after="120" w:line="276"/>
      </w:pPr>
      <w:r>
        <w:rPr>
          <w:rFonts w:ascii="Arial" w:cs="Arial" w:eastAsia="Arial" w:hAnsi="Arial"/>
          <w:color w:val="1A2233"/>
          <w:sz w:val="21"/>
          <w:szCs w:val="21"/>
        </w:rPr>
        <w:t xml:space="preserve">At the end you’ll present your product to the group — no fixed length; cover the ground, not a clock. It should:</w:t>
      </w:r>
    </w:p>
    <w:p>
      <w:pPr>
        <w:pStyle w:val="ListParagraph"/>
        <w:numPr>
          <w:ilvl w:val="0"/>
          <w:numId w:val="2"/>
        </w:numPr>
        <w:spacing w:after="90" w:line="268"/>
      </w:pPr>
      <w:r>
        <w:rPr>
          <w:rFonts w:ascii="Arial" w:cs="Arial" w:eastAsia="Arial" w:hAnsi="Arial"/>
          <w:color w:val="1A2233"/>
          <w:sz w:val="21"/>
          <w:szCs w:val="21"/>
        </w:rPr>
        <w:t xml:space="preserve">Walk through the product live — a clean brief from intake to an approved, scheduled plan, then a hard one (off-brand, non-compliant, or the brief that tries to skip approvals).</w:t>
      </w:r>
    </w:p>
    <w:p>
      <w:pPr>
        <w:pStyle w:val="ListParagraph"/>
        <w:numPr>
          <w:ilvl w:val="0"/>
          <w:numId w:val="2"/>
        </w:numPr>
        <w:spacing w:after="90" w:line="268"/>
      </w:pPr>
      <w:r>
        <w:rPr>
          <w:rFonts w:ascii="Arial" w:cs="Arial" w:eastAsia="Arial" w:hAnsi="Arial"/>
          <w:color w:val="1A2233"/>
          <w:sz w:val="21"/>
          <w:szCs w:val="21"/>
        </w:rPr>
        <w:t xml:space="preserve">Show the two-stage review screen — drafts, internal approval, client approval — and the operational summary in action.</w:t>
      </w:r>
    </w:p>
    <w:p>
      <w:pPr>
        <w:pStyle w:val="ListParagraph"/>
        <w:numPr>
          <w:ilvl w:val="0"/>
          <w:numId w:val="2"/>
        </w:numPr>
        <w:spacing w:after="90" w:line="268"/>
      </w:pPr>
      <w:r>
        <w:rPr>
          <w:rFonts w:ascii="Arial" w:cs="Arial" w:eastAsia="Arial" w:hAnsi="Arial"/>
          <w:color w:val="1A2233"/>
          <w:sz w:val="21"/>
          <w:szCs w:val="21"/>
        </w:rPr>
        <w:t xml:space="preserve">Explain your design — why the product is built the way it is, walking through your PRD, architecture and data schema.</w:t>
      </w:r>
    </w:p>
    <w:p>
      <w:pPr>
        <w:pStyle w:val="ListParagraph"/>
        <w:numPr>
          <w:ilvl w:val="0"/>
          <w:numId w:val="2"/>
        </w:numPr>
        <w:spacing w:after="90" w:line="268"/>
      </w:pPr>
      <w:r>
        <w:rPr>
          <w:rFonts w:ascii="Arial" w:cs="Arial" w:eastAsia="Arial" w:hAnsi="Arial"/>
          <w:color w:val="1A2233"/>
          <w:sz w:val="21"/>
          <w:szCs w:val="21"/>
        </w:rPr>
        <w:t xml:space="preserve">Talk through your evaluation — what you tested, what passed, what didn’t, and what you’d fix next.</w:t>
      </w:r>
    </w:p>
    <w:p>
      <w:pPr>
        <w:keepNext/>
        <w:spacing w:after="80" w:before="240"/>
      </w:pPr>
      <w:r>
        <w:rPr>
          <w:rFonts w:ascii="Arial" w:cs="Arial" w:eastAsia="Arial" w:hAnsi="Arial"/>
          <w:b/>
          <w:bCs/>
          <w:color w:val="04214B"/>
          <w:sz w:val="26"/>
          <w:szCs w:val="26"/>
        </w:rPr>
        <w:t xml:space="preserve">What you hand in</w:t>
      </w:r>
    </w:p>
    <w:tbl>
      <w:tblPr>
        <w:tblW w:type="dxa" w:w="9360"/>
        <w:tblBorders>
          <w:top w:val="single" w:color="00A1FD" w:sz="8"/>
          <w:left w:val="single" w:color="00A1FD" w:sz="8"/>
          <w:bottom w:val="single" w:color="00A1FD" w:sz="8"/>
          <w:right w:val="single" w:color="00A1FD" w:sz="8"/>
          <w:insideH w:val="single" w:color="auto" w:sz="4"/>
          <w:insideV w:val="single" w:color="auto" w:sz="4"/>
        </w:tblBorders>
      </w:tblPr>
      <w:tblGrid>
        <w:gridCol w:w="9360"/>
      </w:tblGrid>
      <w:tr>
        <w:trPr>
          <w:cantSplit/>
        </w:trPr>
        <w:tc>
          <w:tcPr>
            <w:tcW w:type="dxa" w:w="9360"/>
            <w:shd w:fill="EAF6FF" w:val="clear"/>
            <w:tcMar>
              <w:top w:type="dxa" w:w="150"/>
              <w:left w:type="dxa" w:w="210"/>
              <w:bottom w:type="dxa" w:w="150"/>
              <w:right w:type="dxa" w:w="210"/>
            </w:tcMar>
          </w:tcPr>
          <w:p>
            <w:pPr>
              <w:pStyle w:val="ListParagraph"/>
              <w:numPr>
                <w:ilvl w:val="0"/>
                <w:numId w:val="2"/>
              </w:numPr>
              <w:spacing w:after="90" w:line="268"/>
            </w:pPr>
            <w:r>
              <w:rPr>
                <w:rFonts w:ascii="Arial" w:cs="Arial" w:eastAsia="Arial" w:hAnsi="Arial"/>
                <w:b/>
                <w:bCs/>
                <w:color w:val="1A2233"/>
                <w:sz w:val="21"/>
                <w:szCs w:val="21"/>
              </w:rPr>
              <w:t xml:space="preserve">The working product </w:t>
            </w:r>
            <w:r>
              <w:rPr>
                <w:rFonts w:ascii="Arial" w:cs="Arial" w:eastAsia="Arial" w:hAnsi="Arial"/>
                <w:color w:val="1A2233"/>
                <w:sz w:val="21"/>
                <w:szCs w:val="21"/>
              </w:rPr>
              <w:t xml:space="preserve">— on GitHub, with a README explaining how to run it.</w:t>
            </w:r>
          </w:p>
          <w:p>
            <w:pPr>
              <w:pStyle w:val="ListParagraph"/>
              <w:numPr>
                <w:ilvl w:val="0"/>
                <w:numId w:val="2"/>
              </w:numPr>
              <w:spacing w:after="90" w:line="268"/>
            </w:pPr>
            <w:r>
              <w:rPr>
                <w:rFonts w:ascii="Arial" w:cs="Arial" w:eastAsia="Arial" w:hAnsi="Arial"/>
                <w:b/>
                <w:bCs/>
                <w:color w:val="1A2233"/>
                <w:sz w:val="21"/>
                <w:szCs w:val="21"/>
              </w:rPr>
              <w:t xml:space="preserve">The three design documents </w:t>
            </w:r>
            <w:r>
              <w:rPr>
                <w:rFonts w:ascii="Arial" w:cs="Arial" w:eastAsia="Arial" w:hAnsi="Arial"/>
                <w:color w:val="1A2233"/>
                <w:sz w:val="21"/>
                <w:szCs w:val="21"/>
              </w:rPr>
              <w:t xml:space="preserve">— your PRD, System Architecture, and Data Schema (ERD).</w:t>
            </w:r>
          </w:p>
          <w:p>
            <w:pPr>
              <w:pStyle w:val="ListParagraph"/>
              <w:numPr>
                <w:ilvl w:val="0"/>
                <w:numId w:val="2"/>
              </w:numPr>
              <w:spacing w:after="90" w:line="268"/>
            </w:pPr>
            <w:r>
              <w:rPr>
                <w:rFonts w:ascii="Arial" w:cs="Arial" w:eastAsia="Arial" w:hAnsi="Arial"/>
                <w:b/>
                <w:bCs/>
                <w:color w:val="1A2233"/>
                <w:sz w:val="21"/>
                <w:szCs w:val="21"/>
              </w:rPr>
              <w:t xml:space="preserve">The evaluation </w:t>
            </w:r>
            <w:r>
              <w:rPr>
                <w:rFonts w:ascii="Arial" w:cs="Arial" w:eastAsia="Arial" w:hAnsi="Arial"/>
                <w:color w:val="1A2233"/>
                <w:sz w:val="21"/>
                <w:szCs w:val="21"/>
              </w:rPr>
              <w:t xml:space="preserve">— your test set, the results, and the short write-up.</w:t>
            </w:r>
          </w:p>
          <w:p>
            <w:pPr>
              <w:pStyle w:val="ListParagraph"/>
              <w:numPr>
                <w:ilvl w:val="0"/>
                <w:numId w:val="2"/>
              </w:numPr>
              <w:spacing w:after="90" w:line="268"/>
            </w:pPr>
            <w:r>
              <w:rPr>
                <w:rFonts w:ascii="Arial" w:cs="Arial" w:eastAsia="Arial" w:hAnsi="Arial"/>
                <w:b/>
                <w:bCs/>
                <w:color w:val="1A2233"/>
                <w:sz w:val="21"/>
                <w:szCs w:val="21"/>
              </w:rPr>
              <w:t xml:space="preserve">Your presentation.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E6" w:sz="4" w:space="6"/>
      </w:pBdr>
    </w:pPr>
    <w:r>
      <w:rPr>
        <w:rFonts w:ascii="Arial" w:cs="Arial" w:eastAsia="Arial" w:hAnsi="Arial"/>
        <w:color w:val="6B7280"/>
        <w:sz w:val="18"/>
        <w:szCs w:val="18"/>
      </w:rPr>
      <w:t xml:space="preserve">Exology Pioneer Program  ·  Week 4 · Final Project</w:t>
    </w:r>
    <w:r>
      <w:rPr>
        <w:rFonts w:ascii="Arial" w:cs="Arial" w:eastAsia="Arial" w:hAnsi="Arial"/>
      </w:rPr>
      <w:ptab w:alignment="right" w:relativeTo="margin" w:leader="none"/>
    </w: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none"/>
        <w:insideV w:val="none"/>
      </w:tblBorders>
    </w:tblPr>
    <w:tblGrid>
      <w:gridCol w:w="5600"/>
      <w:gridCol w:w="3760"/>
    </w:tblGrid>
    <w:tr>
      <w:tc>
        <w:tcPr>
          <w:tcW w:type="dxa" w:w="5600"/>
          <w:shd w:fill="04214B" w:val="clear"/>
          <w:tcMar>
            <w:top w:type="dxa" w:w="90"/>
            <w:left w:type="dxa" w:w="160"/>
            <w:bottom w:type="dxa" w:w="90"/>
            <w:right w:type="dxa" w:w="80"/>
          </w:tcMar>
          <w:vAlign w:val="center"/>
        </w:tcPr>
        <w:p>
          <w:r>
            <w:drawing>
              <wp:inline distT="0" distB="0" distL="0" distR="0">
                <wp:extent cx="142875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466725"/>
                        </a:xfrm>
                        <a:prstGeom prst="rect">
                          <a:avLst/>
                        </a:prstGeom>
                      </pic:spPr>
                    </pic:pic>
                  </a:graphicData>
                </a:graphic>
              </wp:inline>
            </w:drawing>
          </w:r>
        </w:p>
      </w:tc>
      <w:tc>
        <w:tcPr>
          <w:tcW w:type="dxa" w:w="3760"/>
          <w:shd w:fill="04214B" w:val="clear"/>
          <w:tcMar>
            <w:top w:type="dxa" w:w="90"/>
            <w:left w:type="dxa" w:w="80"/>
            <w:bottom w:type="dxa" w:w="90"/>
            <w:right w:type="dxa" w:w="200"/>
          </w:tcMar>
          <w:vAlign w:val="center"/>
        </w:tcPr>
        <w:p>
          <w:pPr>
            <w:jc w:val="right"/>
          </w:pPr>
          <w:r>
            <w:rPr>
              <w:rFonts w:ascii="Arial" w:cs="Arial" w:eastAsia="Arial" w:hAnsi="Arial"/>
              <w:b/>
              <w:bCs/>
              <w:color w:val="FFFFFF"/>
              <w:sz w:val="22"/>
              <w:szCs w:val="22"/>
            </w:rPr>
            <w:t xml:space="preserve">EPP - 2026</w:t>
          </w:r>
        </w:p>
      </w:tc>
    </w:tr>
  </w:tbl>
  <w:p>
    <w:pPr>
      <w:spacing w:after="0"/>
    </w:pPr>
    <w:r>
      <w:rPr>
        <w:rFonts w:ascii="Arial" w:cs="Arial" w:eastAsia="Arial" w:hAnsi="Arial"/>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00A1F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23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odib35cifstk3ds4fe-1" Type="http://schemas.openxmlformats.org/officeDocument/2006/relationships/hyperlink" Target="https://skipstudio.net/"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f2aaccdfc0a4abcc6dedb533484b729dba33c92.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2026-07-21T13:11:42.290Z</dcterms:created>
  <dcterms:modified xsi:type="dcterms:W3CDTF">2026-07-21T13:11:42.291Z</dcterms:modified>
</cp:coreProperties>
</file>

<file path=docProps/custom.xml><?xml version="1.0" encoding="utf-8"?>
<Properties xmlns="http://schemas.openxmlformats.org/officeDocument/2006/custom-properties" xmlns:vt="http://schemas.openxmlformats.org/officeDocument/2006/docPropsVTypes"/>
</file>