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C0F8E" w:rsidR="009F51F4" w:rsidRDefault="009F51F4" w14:paraId="14FC87D5" w14:textId="0A33D667">
      <w:pPr>
        <w:rPr>
          <w:b/>
          <w:bCs/>
        </w:rPr>
      </w:pPr>
      <w:r w:rsidRPr="00BC0F8E">
        <w:rPr>
          <w:b/>
          <w:bCs/>
        </w:rPr>
        <w:t>NG5001</w:t>
      </w:r>
      <w:r w:rsidR="00672197">
        <w:rPr>
          <w:b/>
          <w:bCs/>
        </w:rPr>
        <w:t xml:space="preserve"> </w:t>
      </w:r>
      <w:r w:rsidRPr="00672197" w:rsidR="00672197">
        <w:rPr>
          <w:b/>
          <w:bCs/>
          <w:lang w:val="en-US"/>
        </w:rPr>
        <w:t>Academic Communication for Graduate Researchers</w:t>
      </w:r>
    </w:p>
    <w:p w:rsidR="009F51F4" w:rsidRDefault="009F51F4" w14:paraId="6E9F7532" w14:textId="24B31574">
      <w:r>
        <w:t>Unit 2.2 – Week 4 Group Activities</w:t>
      </w:r>
    </w:p>
    <w:p w:rsidRPr="00672197" w:rsidR="00672197" w:rsidRDefault="00672197" w14:paraId="75F9F7DE" w14:textId="2140CAD9">
      <w:pPr>
        <w:rPr>
          <w:u w:val="single"/>
        </w:rPr>
      </w:pPr>
      <w:r w:rsidRPr="00672197">
        <w:rPr>
          <w:u w:val="single"/>
        </w:rPr>
        <w:t>Task 5</w:t>
      </w:r>
    </w:p>
    <w:p w:rsidRPr="009F51F4" w:rsidR="009F51F4" w:rsidRDefault="009F51F4" w14:paraId="77130509" w14:textId="77777777">
      <w:pPr>
        <w:rPr>
          <w:color w:val="156082" w:themeColor="accent1"/>
        </w:rPr>
      </w:pPr>
      <w:r w:rsidRPr="009F51F4">
        <w:rPr>
          <w:color w:val="156082" w:themeColor="accent1"/>
        </w:rPr>
        <w:t xml:space="preserve">Revise the </w:t>
      </w:r>
      <w:r w:rsidRPr="009F51F4">
        <w:rPr>
          <w:color w:val="156082" w:themeColor="accent1"/>
        </w:rPr>
        <w:t>assigned text</w:t>
      </w:r>
      <w:r w:rsidRPr="009F51F4">
        <w:rPr>
          <w:color w:val="156082" w:themeColor="accent1"/>
        </w:rPr>
        <w:t xml:space="preserve"> to make </w:t>
      </w:r>
      <w:r w:rsidRPr="009F51F4">
        <w:rPr>
          <w:color w:val="156082" w:themeColor="accent1"/>
        </w:rPr>
        <w:t>it</w:t>
      </w:r>
      <w:r w:rsidRPr="009F51F4">
        <w:rPr>
          <w:color w:val="156082" w:themeColor="accent1"/>
        </w:rPr>
        <w:t xml:space="preserve"> </w:t>
      </w:r>
      <w:r w:rsidRPr="009F51F4">
        <w:rPr>
          <w:color w:val="156082" w:themeColor="accent1"/>
        </w:rPr>
        <w:t xml:space="preserve">a </w:t>
      </w:r>
      <w:r w:rsidRPr="009F51F4">
        <w:rPr>
          <w:color w:val="156082" w:themeColor="accent1"/>
        </w:rPr>
        <w:t xml:space="preserve">more effective opening. Use </w:t>
      </w:r>
      <w:proofErr w:type="spellStart"/>
      <w:r w:rsidRPr="009F51F4">
        <w:rPr>
          <w:color w:val="156082" w:themeColor="accent1"/>
        </w:rPr>
        <w:t>metadiscourse</w:t>
      </w:r>
      <w:proofErr w:type="spellEnd"/>
      <w:r w:rsidRPr="009F51F4">
        <w:rPr>
          <w:color w:val="156082" w:themeColor="accent1"/>
        </w:rPr>
        <w:t xml:space="preserve"> to guide the reader through the text improving </w:t>
      </w:r>
      <w:proofErr w:type="gramStart"/>
      <w:r w:rsidRPr="009F51F4">
        <w:rPr>
          <w:color w:val="156082" w:themeColor="accent1"/>
        </w:rPr>
        <w:t>flow, and</w:t>
      </w:r>
      <w:proofErr w:type="gramEnd"/>
      <w:r w:rsidRPr="009F51F4">
        <w:rPr>
          <w:color w:val="156082" w:themeColor="accent1"/>
        </w:rPr>
        <w:t xml:space="preserve"> adjust the language to project a strong authorial voice. </w:t>
      </w:r>
    </w:p>
    <w:p w:rsidRPr="009F51F4" w:rsidR="009F51F4" w:rsidRDefault="009F51F4" w14:paraId="2C0C72B0" w14:textId="77777777">
      <w:pPr>
        <w:rPr>
          <w:color w:val="156082" w:themeColor="accent1"/>
        </w:rPr>
      </w:pPr>
      <w:r w:rsidRPr="009F51F4">
        <w:rPr>
          <w:color w:val="156082" w:themeColor="accent1"/>
        </w:rPr>
        <w:t>Keep in mind the following</w:t>
      </w:r>
      <w:r w:rsidRPr="009F51F4">
        <w:rPr>
          <w:color w:val="156082" w:themeColor="accent1"/>
        </w:rPr>
        <w:t>:</w:t>
      </w:r>
      <w:r w:rsidRPr="009F51F4">
        <w:rPr>
          <w:color w:val="156082" w:themeColor="accent1"/>
        </w:rPr>
        <w:t xml:space="preserve"> </w:t>
      </w:r>
    </w:p>
    <w:p w:rsidRPr="009F51F4" w:rsidR="009F51F4" w:rsidP="009F51F4" w:rsidRDefault="009F51F4" w14:paraId="58B7328A" w14:textId="77777777">
      <w:pPr>
        <w:pStyle w:val="ListParagraph"/>
        <w:numPr>
          <w:ilvl w:val="0"/>
          <w:numId w:val="1"/>
        </w:numPr>
        <w:rPr>
          <w:color w:val="156082" w:themeColor="accent1"/>
        </w:rPr>
      </w:pPr>
      <w:r w:rsidRPr="009F51F4">
        <w:rPr>
          <w:color w:val="156082" w:themeColor="accent1"/>
        </w:rPr>
        <w:t xml:space="preserve">Q. who is your audience? </w:t>
      </w:r>
    </w:p>
    <w:p w:rsidR="009F51F4" w:rsidP="009F51F4" w:rsidRDefault="009F51F4" w14:paraId="226E6D7B" w14:textId="78860C76">
      <w:pPr>
        <w:pStyle w:val="ListParagraph"/>
        <w:numPr>
          <w:ilvl w:val="0"/>
          <w:numId w:val="1"/>
        </w:numPr>
        <w:rPr>
          <w:color w:val="156082" w:themeColor="accent1"/>
        </w:rPr>
      </w:pPr>
      <w:r w:rsidRPr="009F51F4">
        <w:rPr>
          <w:color w:val="156082" w:themeColor="accent1"/>
        </w:rPr>
        <w:t>Q. how do they need to hear this &amp; therefore what persona will you project</w:t>
      </w:r>
      <w:r w:rsidRPr="009F51F4">
        <w:rPr>
          <w:color w:val="156082" w:themeColor="accent1"/>
        </w:rPr>
        <w:t>?</w:t>
      </w:r>
    </w:p>
    <w:p w:rsidRPr="009F51F4" w:rsidR="0076160B" w:rsidP="0076160B" w:rsidRDefault="0076160B" w14:paraId="764FB3CA" w14:textId="77777777">
      <w:pPr>
        <w:pStyle w:val="ListParagraph"/>
        <w:rPr>
          <w:color w:val="156082" w:themeColor="accent1"/>
        </w:rPr>
      </w:pPr>
    </w:p>
    <w:tbl>
      <w:tblPr>
        <w:tblStyle w:val="TableGrid"/>
        <w:tblW w:w="0" w:type="auto"/>
        <w:tblLook w:val="04A0" w:firstRow="1" w:lastRow="0" w:firstColumn="1" w:lastColumn="0" w:noHBand="0" w:noVBand="1"/>
      </w:tblPr>
      <w:tblGrid>
        <w:gridCol w:w="3005"/>
        <w:gridCol w:w="3005"/>
        <w:gridCol w:w="3006"/>
      </w:tblGrid>
      <w:tr w:rsidR="009F51F4" w:rsidTr="00D817CB" w14:paraId="17041A8B" w14:textId="77777777">
        <w:tc>
          <w:tcPr>
            <w:tcW w:w="9016" w:type="dxa"/>
            <w:gridSpan w:val="3"/>
          </w:tcPr>
          <w:p w:rsidRPr="009F51F4" w:rsidR="009F51F4" w:rsidRDefault="009F51F4" w14:paraId="540A24CC" w14:textId="577C891B">
            <w:pPr>
              <w:rPr>
                <w:b/>
                <w:bCs/>
              </w:rPr>
            </w:pPr>
            <w:r w:rsidRPr="009F51F4">
              <w:rPr>
                <w:b/>
                <w:bCs/>
              </w:rPr>
              <w:t>Group 1</w:t>
            </w:r>
          </w:p>
          <w:p w:rsidR="009F51F4" w:rsidRDefault="009F51F4" w14:paraId="23A0E9C3" w14:textId="6F34B4D4">
            <w:r>
              <w:t>Names:</w:t>
            </w:r>
          </w:p>
          <w:p w:rsidRPr="009F51F4" w:rsidR="009F51F4" w:rsidRDefault="009F51F4" w14:paraId="583226B7" w14:textId="69A834BE">
            <w:pPr>
              <w:rPr>
                <w:i/>
                <w:iCs/>
              </w:rPr>
            </w:pPr>
            <w:r w:rsidRPr="009F51F4">
              <w:rPr>
                <w:i/>
                <w:iCs/>
              </w:rPr>
              <w:t>Text 1</w:t>
            </w:r>
          </w:p>
        </w:tc>
      </w:tr>
      <w:tr w:rsidR="009F51F4" w:rsidTr="009F51F4" w14:paraId="28B50708" w14:textId="77777777">
        <w:tc>
          <w:tcPr>
            <w:tcW w:w="3005" w:type="dxa"/>
            <w:shd w:val="clear" w:color="auto" w:fill="E8E8E8" w:themeFill="background2"/>
          </w:tcPr>
          <w:p w:rsidR="009F51F4" w:rsidRDefault="009F51F4" w14:paraId="67CDA8E7" w14:textId="32911C9C">
            <w:r>
              <w:t xml:space="preserve">Original </w:t>
            </w:r>
          </w:p>
        </w:tc>
        <w:tc>
          <w:tcPr>
            <w:tcW w:w="3005" w:type="dxa"/>
            <w:shd w:val="clear" w:color="auto" w:fill="E8E8E8" w:themeFill="background2"/>
          </w:tcPr>
          <w:p w:rsidR="009F51F4" w:rsidRDefault="009F51F4" w14:paraId="57D58B85" w14:textId="6EF81585">
            <w:r>
              <w:t>Version 1</w:t>
            </w:r>
          </w:p>
        </w:tc>
        <w:tc>
          <w:tcPr>
            <w:tcW w:w="3006" w:type="dxa"/>
            <w:shd w:val="clear" w:color="auto" w:fill="E8E8E8" w:themeFill="background2"/>
          </w:tcPr>
          <w:p w:rsidR="009F51F4" w:rsidRDefault="009F51F4" w14:paraId="365652D8" w14:textId="7D75E777">
            <w:r>
              <w:t>Version 2</w:t>
            </w:r>
          </w:p>
        </w:tc>
      </w:tr>
      <w:tr w:rsidR="009F51F4" w:rsidTr="009F51F4" w14:paraId="2AFDFA71" w14:textId="77777777">
        <w:tc>
          <w:tcPr>
            <w:tcW w:w="3005" w:type="dxa"/>
          </w:tcPr>
          <w:p w:rsidR="009F51F4" w:rsidRDefault="009F51F4" w14:paraId="43DB7A39" w14:textId="34BE2481">
            <w:r>
              <w:t>The rates of all chemical reactions increase with temperature. This phenomenon grows directly from physical chemistry’s transition state theory and the Arrhenius equation. Respiration in soil doesn’t always appear to follow this pattern. Some studies have shown no respiration response to increasing temperature, while a few have even reported a negative response.</w:t>
            </w:r>
          </w:p>
        </w:tc>
        <w:tc>
          <w:tcPr>
            <w:tcW w:w="3005" w:type="dxa"/>
          </w:tcPr>
          <w:p w:rsidR="009F51F4" w:rsidRDefault="009F51F4" w14:paraId="55ECBF03" w14:textId="77777777"/>
        </w:tc>
        <w:tc>
          <w:tcPr>
            <w:tcW w:w="3006" w:type="dxa"/>
          </w:tcPr>
          <w:p w:rsidR="009F51F4" w:rsidRDefault="009F51F4" w14:paraId="7668BBEA" w14:textId="77777777"/>
        </w:tc>
      </w:tr>
      <w:tr w:rsidR="0076160B" w:rsidTr="00BF314D" w14:paraId="33ACA373" w14:textId="77777777">
        <w:tc>
          <w:tcPr>
            <w:tcW w:w="9016" w:type="dxa"/>
            <w:gridSpan w:val="3"/>
          </w:tcPr>
          <w:p w:rsidRPr="0076160B" w:rsidR="0076160B" w:rsidRDefault="0076160B" w14:paraId="6B618B0E" w14:textId="182096F1">
            <w:pPr>
              <w:rPr>
                <w:i/>
                <w:iCs/>
              </w:rPr>
            </w:pPr>
            <w:r w:rsidRPr="0076160B">
              <w:rPr>
                <w:i/>
                <w:iCs/>
              </w:rPr>
              <w:t>Comparison</w:t>
            </w:r>
          </w:p>
          <w:p w:rsidR="0076160B" w:rsidRDefault="0076160B" w14:paraId="28202ED1" w14:textId="77777777"/>
          <w:p w:rsidR="0076160B" w:rsidRDefault="0076160B" w14:paraId="16A0D8DF" w14:textId="11042C7E"/>
        </w:tc>
      </w:tr>
    </w:tbl>
    <w:p w:rsidR="009F51F4" w:rsidRDefault="009F51F4" w14:paraId="3F0CAE1B" w14:textId="77777777"/>
    <w:p w:rsidR="009F51F4" w:rsidRDefault="009F51F4" w14:paraId="0D47D439" w14:textId="77777777"/>
    <w:tbl>
      <w:tblPr>
        <w:tblStyle w:val="TableGrid"/>
        <w:tblW w:w="0" w:type="auto"/>
        <w:tblLook w:val="04A0" w:firstRow="1" w:lastRow="0" w:firstColumn="1" w:lastColumn="0" w:noHBand="0" w:noVBand="1"/>
      </w:tblPr>
      <w:tblGrid>
        <w:gridCol w:w="3005"/>
        <w:gridCol w:w="3005"/>
        <w:gridCol w:w="3006"/>
      </w:tblGrid>
      <w:tr w:rsidR="009F51F4" w:rsidTr="00E054C2" w14:paraId="35D3E321" w14:textId="77777777">
        <w:tc>
          <w:tcPr>
            <w:tcW w:w="9016" w:type="dxa"/>
            <w:gridSpan w:val="3"/>
          </w:tcPr>
          <w:p w:rsidRPr="009F51F4" w:rsidR="009F51F4" w:rsidP="00E054C2" w:rsidRDefault="009F51F4" w14:paraId="65FA24A3" w14:textId="5FA4A327">
            <w:pPr>
              <w:rPr>
                <w:b/>
                <w:bCs/>
              </w:rPr>
            </w:pPr>
            <w:r w:rsidRPr="009F51F4">
              <w:rPr>
                <w:b/>
                <w:bCs/>
              </w:rPr>
              <w:t xml:space="preserve">Group </w:t>
            </w:r>
            <w:r w:rsidRPr="009F51F4">
              <w:rPr>
                <w:b/>
                <w:bCs/>
              </w:rPr>
              <w:t>2</w:t>
            </w:r>
          </w:p>
          <w:p w:rsidR="009F51F4" w:rsidP="00E054C2" w:rsidRDefault="009F51F4" w14:paraId="485C6F6F" w14:textId="77777777">
            <w:r>
              <w:t>Names:</w:t>
            </w:r>
          </w:p>
          <w:p w:rsidRPr="009F51F4" w:rsidR="009F51F4" w:rsidP="00E054C2" w:rsidRDefault="009F51F4" w14:paraId="1D2BD695" w14:textId="0E3E97EF">
            <w:pPr>
              <w:rPr>
                <w:i/>
                <w:iCs/>
              </w:rPr>
            </w:pPr>
            <w:r w:rsidRPr="009F51F4">
              <w:rPr>
                <w:i/>
                <w:iCs/>
              </w:rPr>
              <w:t>Text 1</w:t>
            </w:r>
          </w:p>
        </w:tc>
      </w:tr>
      <w:tr w:rsidR="009F51F4" w:rsidTr="00E054C2" w14:paraId="032576A1" w14:textId="77777777">
        <w:tc>
          <w:tcPr>
            <w:tcW w:w="3005" w:type="dxa"/>
            <w:shd w:val="clear" w:color="auto" w:fill="E8E8E8" w:themeFill="background2"/>
          </w:tcPr>
          <w:p w:rsidR="009F51F4" w:rsidP="00E054C2" w:rsidRDefault="009F51F4" w14:paraId="1CBD2A07" w14:textId="77777777">
            <w:r>
              <w:t xml:space="preserve">Original </w:t>
            </w:r>
          </w:p>
        </w:tc>
        <w:tc>
          <w:tcPr>
            <w:tcW w:w="3005" w:type="dxa"/>
            <w:shd w:val="clear" w:color="auto" w:fill="E8E8E8" w:themeFill="background2"/>
          </w:tcPr>
          <w:p w:rsidR="009F51F4" w:rsidP="00E054C2" w:rsidRDefault="009F51F4" w14:paraId="20021B7F" w14:textId="77777777">
            <w:r>
              <w:t>Version 1</w:t>
            </w:r>
          </w:p>
        </w:tc>
        <w:tc>
          <w:tcPr>
            <w:tcW w:w="3006" w:type="dxa"/>
            <w:shd w:val="clear" w:color="auto" w:fill="E8E8E8" w:themeFill="background2"/>
          </w:tcPr>
          <w:p w:rsidR="009F51F4" w:rsidP="00E054C2" w:rsidRDefault="009F51F4" w14:paraId="0BE59F85" w14:textId="77777777">
            <w:r>
              <w:t>Version 2</w:t>
            </w:r>
          </w:p>
        </w:tc>
      </w:tr>
      <w:tr w:rsidR="009F51F4" w:rsidTr="00E054C2" w14:paraId="7143F78B" w14:textId="77777777">
        <w:tc>
          <w:tcPr>
            <w:tcW w:w="3005" w:type="dxa"/>
          </w:tcPr>
          <w:p w:rsidR="009F51F4" w:rsidP="00E054C2" w:rsidRDefault="009F51F4" w14:paraId="4F44B2A3" w14:textId="77777777">
            <w:r>
              <w:lastRenderedPageBreak/>
              <w:t>The rates of all chemical reactions increase with temperature. This phenomenon grows directly from physical chemistry’s transition state theory and the Arrhenius equation. Respiration in soil doesn’t always appear to follow this pattern. Some studies have shown no respiration response to increasing temperature, while a few have even reported a negative response.</w:t>
            </w:r>
          </w:p>
        </w:tc>
        <w:tc>
          <w:tcPr>
            <w:tcW w:w="3005" w:type="dxa"/>
          </w:tcPr>
          <w:p w:rsidR="009F51F4" w:rsidP="00E054C2" w:rsidRDefault="009F51F4" w14:paraId="1986013E" w14:textId="77777777"/>
        </w:tc>
        <w:tc>
          <w:tcPr>
            <w:tcW w:w="3006" w:type="dxa"/>
          </w:tcPr>
          <w:p w:rsidR="009F51F4" w:rsidP="00E054C2" w:rsidRDefault="009F51F4" w14:paraId="44EA72D4" w14:textId="77777777"/>
        </w:tc>
      </w:tr>
      <w:tr w:rsidR="0076160B" w:rsidTr="0047205B" w14:paraId="40A6CC95" w14:textId="77777777">
        <w:tc>
          <w:tcPr>
            <w:tcW w:w="9016" w:type="dxa"/>
            <w:gridSpan w:val="3"/>
          </w:tcPr>
          <w:p w:rsidRPr="0076160B" w:rsidR="0076160B" w:rsidP="00E054C2" w:rsidRDefault="0076160B" w14:paraId="66997EB2" w14:textId="77777777">
            <w:pPr>
              <w:rPr>
                <w:i/>
                <w:iCs/>
              </w:rPr>
            </w:pPr>
            <w:r w:rsidRPr="0076160B">
              <w:rPr>
                <w:i/>
                <w:iCs/>
              </w:rPr>
              <w:t>Comparison</w:t>
            </w:r>
          </w:p>
          <w:p w:rsidR="0076160B" w:rsidP="00E054C2" w:rsidRDefault="0076160B" w14:paraId="77B04728" w14:textId="46F2F2F2"/>
        </w:tc>
      </w:tr>
    </w:tbl>
    <w:p w:rsidR="009F51F4" w:rsidRDefault="009F51F4" w14:paraId="3CD15540" w14:textId="77777777"/>
    <w:p w:rsidR="009F51F4" w:rsidRDefault="009F51F4" w14:paraId="7F0E6308" w14:textId="77777777"/>
    <w:p w:rsidR="009F51F4" w:rsidRDefault="009F51F4" w14:paraId="3A003183" w14:textId="77777777"/>
    <w:tbl>
      <w:tblPr>
        <w:tblStyle w:val="TableGrid"/>
        <w:tblW w:w="0" w:type="auto"/>
        <w:tblLook w:val="04A0" w:firstRow="1" w:lastRow="0" w:firstColumn="1" w:lastColumn="0" w:noHBand="0" w:noVBand="1"/>
      </w:tblPr>
      <w:tblGrid>
        <w:gridCol w:w="3005"/>
        <w:gridCol w:w="3005"/>
        <w:gridCol w:w="3006"/>
      </w:tblGrid>
      <w:tr w:rsidR="009F51F4" w:rsidTr="009A4500" w14:paraId="23EC86F4" w14:textId="77777777">
        <w:tc>
          <w:tcPr>
            <w:tcW w:w="9016" w:type="dxa"/>
            <w:gridSpan w:val="3"/>
          </w:tcPr>
          <w:p w:rsidRPr="009F51F4" w:rsidR="009F51F4" w:rsidP="00E054C2" w:rsidRDefault="009F51F4" w14:paraId="0DCEFB1B" w14:textId="174928F0">
            <w:pPr>
              <w:rPr>
                <w:b/>
                <w:bCs/>
              </w:rPr>
            </w:pPr>
            <w:r w:rsidRPr="009F51F4">
              <w:rPr>
                <w:b/>
                <w:bCs/>
              </w:rPr>
              <w:t>Group 3</w:t>
            </w:r>
          </w:p>
          <w:p w:rsidR="009F51F4" w:rsidP="00E054C2" w:rsidRDefault="009F51F4" w14:paraId="110A268E" w14:textId="77777777">
            <w:r>
              <w:t>Names:</w:t>
            </w:r>
          </w:p>
          <w:p w:rsidRPr="009F51F4" w:rsidR="009F51F4" w:rsidP="00E054C2" w:rsidRDefault="009F51F4" w14:paraId="78565AF6" w14:textId="3740F5E3">
            <w:pPr>
              <w:rPr>
                <w:i/>
                <w:iCs/>
              </w:rPr>
            </w:pPr>
            <w:r w:rsidRPr="009F51F4">
              <w:rPr>
                <w:i/>
                <w:iCs/>
              </w:rPr>
              <w:t>Text 2</w:t>
            </w:r>
          </w:p>
        </w:tc>
      </w:tr>
      <w:tr w:rsidR="009F51F4" w:rsidTr="009F51F4" w14:paraId="00DAE726" w14:textId="77777777">
        <w:tc>
          <w:tcPr>
            <w:tcW w:w="3005" w:type="dxa"/>
            <w:shd w:val="clear" w:color="auto" w:fill="E8E8E8" w:themeFill="background2"/>
          </w:tcPr>
          <w:p w:rsidR="009F51F4" w:rsidP="00E054C2" w:rsidRDefault="009F51F4" w14:paraId="2B2B91B6" w14:textId="78B8856F">
            <w:r>
              <w:t>Original</w:t>
            </w:r>
          </w:p>
        </w:tc>
        <w:tc>
          <w:tcPr>
            <w:tcW w:w="3005" w:type="dxa"/>
            <w:shd w:val="clear" w:color="auto" w:fill="E8E8E8" w:themeFill="background2"/>
          </w:tcPr>
          <w:p w:rsidR="009F51F4" w:rsidP="00E054C2" w:rsidRDefault="009F51F4" w14:paraId="4181ACD0" w14:textId="380D9C52">
            <w:r>
              <w:t>Version 1</w:t>
            </w:r>
          </w:p>
        </w:tc>
        <w:tc>
          <w:tcPr>
            <w:tcW w:w="3006" w:type="dxa"/>
            <w:shd w:val="clear" w:color="auto" w:fill="E8E8E8" w:themeFill="background2"/>
          </w:tcPr>
          <w:p w:rsidR="009F51F4" w:rsidP="00E054C2" w:rsidRDefault="009F51F4" w14:paraId="26CF7C29" w14:textId="4E9F573F">
            <w:r>
              <w:t>Version 2</w:t>
            </w:r>
          </w:p>
        </w:tc>
      </w:tr>
      <w:tr w:rsidR="009F51F4" w:rsidTr="00E054C2" w14:paraId="7F41E61E" w14:textId="77777777">
        <w:tc>
          <w:tcPr>
            <w:tcW w:w="3005" w:type="dxa"/>
          </w:tcPr>
          <w:p w:rsidR="009F51F4" w:rsidP="00E054C2" w:rsidRDefault="009F51F4" w14:paraId="68E23D65" w14:textId="35DB3EA5">
            <w:r>
              <w:t xml:space="preserve">Chemotherapy is a dominant treatment approach for many types of cancer, and with the development of new targeted-delivery systems has the potential to become even more widespread and efficacious. A common constraint to effective chemotherapy is patient resistance to the treatments. Such resistance is often closely associated with the activity of the enzyme γ-glutamyl transpeptidase (GGT), which acts to increase intracellular </w:t>
            </w:r>
            <w:r>
              <w:lastRenderedPageBreak/>
              <w:t xml:space="preserve">concentrations of glutathione and thereby block the apoptotic cascade in </w:t>
            </w:r>
            <w:proofErr w:type="spellStart"/>
            <w:r>
              <w:t>tumor</w:t>
            </w:r>
            <w:proofErr w:type="spellEnd"/>
            <w:r>
              <w:t xml:space="preserve"> cells. Inhibiting GGT before chemotherapy would therefore reduce </w:t>
            </w:r>
            <w:proofErr w:type="spellStart"/>
            <w:r>
              <w:t>tumor</w:t>
            </w:r>
            <w:proofErr w:type="spellEnd"/>
            <w:r>
              <w:t xml:space="preserve"> cell resistance and increase treatment effectiveness.</w:t>
            </w:r>
          </w:p>
        </w:tc>
        <w:tc>
          <w:tcPr>
            <w:tcW w:w="3005" w:type="dxa"/>
          </w:tcPr>
          <w:p w:rsidR="009F51F4" w:rsidP="00E054C2" w:rsidRDefault="009F51F4" w14:paraId="4A5A4C6B" w14:textId="77777777"/>
        </w:tc>
        <w:tc>
          <w:tcPr>
            <w:tcW w:w="3006" w:type="dxa"/>
          </w:tcPr>
          <w:p w:rsidR="009F51F4" w:rsidP="00E054C2" w:rsidRDefault="009F51F4" w14:paraId="05328C6D" w14:textId="77777777"/>
        </w:tc>
      </w:tr>
      <w:tr w:rsidR="0076160B" w:rsidTr="00E24E16" w14:paraId="10E8775B" w14:textId="77777777">
        <w:tc>
          <w:tcPr>
            <w:tcW w:w="9016" w:type="dxa"/>
            <w:gridSpan w:val="3"/>
          </w:tcPr>
          <w:p w:rsidRPr="0076160B" w:rsidR="0076160B" w:rsidP="00E054C2" w:rsidRDefault="0076160B" w14:paraId="1F114024" w14:textId="77777777">
            <w:pPr>
              <w:rPr>
                <w:i/>
                <w:iCs/>
              </w:rPr>
            </w:pPr>
            <w:r w:rsidRPr="0076160B">
              <w:rPr>
                <w:i/>
                <w:iCs/>
              </w:rPr>
              <w:t>Comparison</w:t>
            </w:r>
          </w:p>
          <w:p w:rsidR="0076160B" w:rsidP="00E054C2" w:rsidRDefault="0076160B" w14:paraId="68AB5BAA" w14:textId="1BA3535D"/>
        </w:tc>
      </w:tr>
    </w:tbl>
    <w:p w:rsidR="009F51F4" w:rsidRDefault="009F51F4" w14:paraId="65B350B1" w14:textId="77777777"/>
    <w:p w:rsidR="009F51F4" w:rsidRDefault="009F51F4" w14:paraId="6931306F" w14:textId="77777777"/>
    <w:tbl>
      <w:tblPr>
        <w:tblStyle w:val="TableGrid"/>
        <w:tblW w:w="0" w:type="auto"/>
        <w:tblLook w:val="04A0" w:firstRow="1" w:lastRow="0" w:firstColumn="1" w:lastColumn="0" w:noHBand="0" w:noVBand="1"/>
      </w:tblPr>
      <w:tblGrid>
        <w:gridCol w:w="3005"/>
        <w:gridCol w:w="3005"/>
        <w:gridCol w:w="3006"/>
      </w:tblGrid>
      <w:tr w:rsidR="009F51F4" w:rsidTr="00E054C2" w14:paraId="354F1E0B" w14:textId="77777777">
        <w:tc>
          <w:tcPr>
            <w:tcW w:w="9016" w:type="dxa"/>
            <w:gridSpan w:val="3"/>
          </w:tcPr>
          <w:p w:rsidRPr="009F51F4" w:rsidR="009F51F4" w:rsidP="00E054C2" w:rsidRDefault="009F51F4" w14:paraId="262733AC" w14:textId="6CB4507B">
            <w:pPr>
              <w:rPr>
                <w:b/>
                <w:bCs/>
              </w:rPr>
            </w:pPr>
            <w:r w:rsidRPr="009F51F4">
              <w:rPr>
                <w:b/>
                <w:bCs/>
              </w:rPr>
              <w:t xml:space="preserve">Group </w:t>
            </w:r>
            <w:r w:rsidRPr="009F51F4">
              <w:rPr>
                <w:b/>
                <w:bCs/>
              </w:rPr>
              <w:t>4</w:t>
            </w:r>
          </w:p>
          <w:p w:rsidR="009F51F4" w:rsidP="00E054C2" w:rsidRDefault="009F51F4" w14:paraId="48F6066E" w14:textId="77777777">
            <w:r>
              <w:t>Names:</w:t>
            </w:r>
          </w:p>
          <w:p w:rsidRPr="009F51F4" w:rsidR="009F51F4" w:rsidP="00E054C2" w:rsidRDefault="009F51F4" w14:paraId="2161859A" w14:textId="178B78CD">
            <w:pPr>
              <w:rPr>
                <w:i/>
                <w:iCs/>
              </w:rPr>
            </w:pPr>
            <w:r w:rsidRPr="009F51F4">
              <w:rPr>
                <w:i/>
                <w:iCs/>
              </w:rPr>
              <w:t>Text 2</w:t>
            </w:r>
          </w:p>
        </w:tc>
      </w:tr>
      <w:tr w:rsidR="009F51F4" w:rsidTr="00E054C2" w14:paraId="4D59CB8B" w14:textId="77777777">
        <w:tc>
          <w:tcPr>
            <w:tcW w:w="3005" w:type="dxa"/>
            <w:shd w:val="clear" w:color="auto" w:fill="E8E8E8" w:themeFill="background2"/>
          </w:tcPr>
          <w:p w:rsidR="009F51F4" w:rsidP="00E054C2" w:rsidRDefault="009F51F4" w14:paraId="37404F35" w14:textId="77777777">
            <w:r>
              <w:t>Original</w:t>
            </w:r>
          </w:p>
        </w:tc>
        <w:tc>
          <w:tcPr>
            <w:tcW w:w="3005" w:type="dxa"/>
            <w:shd w:val="clear" w:color="auto" w:fill="E8E8E8" w:themeFill="background2"/>
          </w:tcPr>
          <w:p w:rsidR="009F51F4" w:rsidP="00E054C2" w:rsidRDefault="009F51F4" w14:paraId="392B7B79" w14:textId="77777777">
            <w:r>
              <w:t>Version 1</w:t>
            </w:r>
          </w:p>
        </w:tc>
        <w:tc>
          <w:tcPr>
            <w:tcW w:w="3006" w:type="dxa"/>
            <w:shd w:val="clear" w:color="auto" w:fill="E8E8E8" w:themeFill="background2"/>
          </w:tcPr>
          <w:p w:rsidR="009F51F4" w:rsidP="00E054C2" w:rsidRDefault="009F51F4" w14:paraId="542C94EB" w14:textId="77777777">
            <w:r>
              <w:t>Version 2</w:t>
            </w:r>
          </w:p>
        </w:tc>
      </w:tr>
      <w:tr w:rsidR="009F51F4" w:rsidTr="00E054C2" w14:paraId="66279342" w14:textId="77777777">
        <w:tc>
          <w:tcPr>
            <w:tcW w:w="3005" w:type="dxa"/>
          </w:tcPr>
          <w:p w:rsidR="009F51F4" w:rsidP="00E054C2" w:rsidRDefault="009F51F4" w14:paraId="08E27AFA" w14:textId="77777777">
            <w:r>
              <w:t xml:space="preserve">Chemotherapy is a dominant treatment approach for many types of cancer, and with the development of new targeted-delivery systems has the potential to become even more widespread and efficacious. A common constraint to effective chemotherapy is patient resistance to the treatments. Such resistance is often closely associated with the activity of the enzyme γ-glutamyl transpeptidase (GGT), which acts to increase intracellular concentrations of glutathione and thereby block the apoptotic cascade in </w:t>
            </w:r>
            <w:proofErr w:type="spellStart"/>
            <w:r>
              <w:t>tumor</w:t>
            </w:r>
            <w:proofErr w:type="spellEnd"/>
            <w:r>
              <w:t xml:space="preserve"> cells. Inhibiting GGT before chemotherapy would therefore reduce </w:t>
            </w:r>
            <w:proofErr w:type="spellStart"/>
            <w:r>
              <w:t>tumor</w:t>
            </w:r>
            <w:proofErr w:type="spellEnd"/>
            <w:r>
              <w:t xml:space="preserve"> </w:t>
            </w:r>
            <w:r>
              <w:lastRenderedPageBreak/>
              <w:t>cell resistance and increase treatment effectiveness.</w:t>
            </w:r>
          </w:p>
        </w:tc>
        <w:tc>
          <w:tcPr>
            <w:tcW w:w="3005" w:type="dxa"/>
          </w:tcPr>
          <w:p w:rsidR="009F51F4" w:rsidP="00E054C2" w:rsidRDefault="009F51F4" w14:paraId="73947660" w14:textId="77777777"/>
        </w:tc>
        <w:tc>
          <w:tcPr>
            <w:tcW w:w="3006" w:type="dxa"/>
          </w:tcPr>
          <w:p w:rsidR="009F51F4" w:rsidP="00E054C2" w:rsidRDefault="009F51F4" w14:paraId="218E2B80" w14:textId="77777777"/>
        </w:tc>
      </w:tr>
      <w:tr w:rsidR="0076160B" w:rsidTr="00BA2696" w14:paraId="0F544B03" w14:textId="77777777">
        <w:tc>
          <w:tcPr>
            <w:tcW w:w="9016" w:type="dxa"/>
            <w:gridSpan w:val="3"/>
          </w:tcPr>
          <w:p w:rsidRPr="0076160B" w:rsidR="0076160B" w:rsidP="00E054C2" w:rsidRDefault="0076160B" w14:paraId="652CA9B7" w14:textId="77777777">
            <w:pPr>
              <w:rPr>
                <w:i/>
                <w:iCs/>
              </w:rPr>
            </w:pPr>
            <w:r w:rsidRPr="0076160B">
              <w:rPr>
                <w:i/>
                <w:iCs/>
              </w:rPr>
              <w:t>Comparison</w:t>
            </w:r>
          </w:p>
          <w:p w:rsidR="0076160B" w:rsidP="00E054C2" w:rsidRDefault="0076160B" w14:paraId="762BF49E" w14:textId="4A9EB54E"/>
        </w:tc>
      </w:tr>
    </w:tbl>
    <w:p w:rsidR="009F51F4" w:rsidRDefault="009F51F4" w14:paraId="0EE945CB" w14:textId="77777777" w14:noSpellErr="1"/>
    <w:p w:rsidR="00B1AF36" w:rsidRDefault="00B1AF36" w14:paraId="319359A1" w14:textId="00C8E4DB"/>
    <w:tbl>
      <w:tblPr>
        <w:tblStyle w:val="TableGrid"/>
        <w:tblW w:w="0" w:type="auto"/>
        <w:tblLook w:val="04A0" w:firstRow="1" w:lastRow="0" w:firstColumn="1" w:lastColumn="0" w:noHBand="0" w:noVBand="1"/>
      </w:tblPr>
      <w:tblGrid>
        <w:gridCol w:w="3005"/>
        <w:gridCol w:w="3005"/>
        <w:gridCol w:w="3006"/>
      </w:tblGrid>
      <w:tr w:rsidR="00B1AF36" w:rsidTr="00B1AF36" w14:paraId="00F7584C">
        <w:trPr>
          <w:trHeight w:val="300"/>
        </w:trPr>
        <w:tc>
          <w:tcPr>
            <w:tcW w:w="9016" w:type="dxa"/>
            <w:gridSpan w:val="3"/>
            <w:tcMar/>
          </w:tcPr>
          <w:p w:rsidR="00B1AF36" w:rsidP="00B1AF36" w:rsidRDefault="00B1AF36" w14:paraId="4E96B163" w14:textId="207716A9">
            <w:pPr>
              <w:rPr>
                <w:b w:val="1"/>
                <w:bCs w:val="1"/>
              </w:rPr>
            </w:pPr>
            <w:r w:rsidRPr="00B1AF36" w:rsidR="00B1AF36">
              <w:rPr>
                <w:b w:val="1"/>
                <w:bCs w:val="1"/>
              </w:rPr>
              <w:t xml:space="preserve">Group </w:t>
            </w:r>
            <w:r w:rsidRPr="00B1AF36" w:rsidR="57F33817">
              <w:rPr>
                <w:b w:val="1"/>
                <w:bCs w:val="1"/>
              </w:rPr>
              <w:t>5</w:t>
            </w:r>
          </w:p>
          <w:p w:rsidR="00B1AF36" w:rsidRDefault="00B1AF36" w14:noSpellErr="1" w14:paraId="090CE902">
            <w:r w:rsidR="00B1AF36">
              <w:rPr/>
              <w:t>Names:</w:t>
            </w:r>
          </w:p>
          <w:p w:rsidR="00B1AF36" w:rsidP="00B1AF36" w:rsidRDefault="00B1AF36" w14:noSpellErr="1" w14:paraId="32343D3E" w14:textId="178B78CD">
            <w:pPr>
              <w:rPr>
                <w:i w:val="1"/>
                <w:iCs w:val="1"/>
              </w:rPr>
            </w:pPr>
            <w:r w:rsidRPr="00B1AF36" w:rsidR="00B1AF36">
              <w:rPr>
                <w:i w:val="1"/>
                <w:iCs w:val="1"/>
              </w:rPr>
              <w:t>Text 2</w:t>
            </w:r>
          </w:p>
        </w:tc>
      </w:tr>
      <w:tr w:rsidR="00B1AF36" w:rsidTr="00B1AF36" w14:paraId="3B5656EA">
        <w:trPr>
          <w:trHeight w:val="300"/>
        </w:trPr>
        <w:tc>
          <w:tcPr>
            <w:tcW w:w="3005" w:type="dxa"/>
            <w:shd w:val="clear" w:color="auto" w:fill="E8E8E8" w:themeFill="background2"/>
            <w:tcMar/>
          </w:tcPr>
          <w:p w:rsidR="00B1AF36" w:rsidRDefault="00B1AF36" w14:noSpellErr="1" w14:paraId="3269E993">
            <w:r w:rsidR="00B1AF36">
              <w:rPr/>
              <w:t>Original</w:t>
            </w:r>
          </w:p>
        </w:tc>
        <w:tc>
          <w:tcPr>
            <w:tcW w:w="3005" w:type="dxa"/>
            <w:shd w:val="clear" w:color="auto" w:fill="E8E8E8" w:themeFill="background2"/>
            <w:tcMar/>
          </w:tcPr>
          <w:p w:rsidR="00B1AF36" w:rsidRDefault="00B1AF36" w14:noSpellErr="1" w14:paraId="605F3935">
            <w:r w:rsidR="00B1AF36">
              <w:rPr/>
              <w:t>Version 1</w:t>
            </w:r>
          </w:p>
        </w:tc>
        <w:tc>
          <w:tcPr>
            <w:tcW w:w="3006" w:type="dxa"/>
            <w:shd w:val="clear" w:color="auto" w:fill="E8E8E8" w:themeFill="background2"/>
            <w:tcMar/>
          </w:tcPr>
          <w:p w:rsidR="00B1AF36" w:rsidRDefault="00B1AF36" w14:noSpellErr="1" w14:paraId="7D41814A">
            <w:r w:rsidR="00B1AF36">
              <w:rPr/>
              <w:t>Version 2</w:t>
            </w:r>
          </w:p>
        </w:tc>
      </w:tr>
      <w:tr w:rsidR="00B1AF36" w:rsidTr="00B1AF36" w14:paraId="259CE1A9">
        <w:trPr>
          <w:trHeight w:val="300"/>
        </w:trPr>
        <w:tc>
          <w:tcPr>
            <w:tcW w:w="3005" w:type="dxa"/>
            <w:tcMar/>
          </w:tcPr>
          <w:p w:rsidR="00B1AF36" w:rsidRDefault="00B1AF36" w14:paraId="3A79A005">
            <w:r w:rsidR="00B1AF36">
              <w:rPr/>
              <w:t xml:space="preserve">Chemotherapy is a dominant treatment approach for many types of cancer, and with the development of new targeted-delivery systems has the potential to become even more widespread and efficacious. A common constraint to effective chemotherapy is patient resistance to the treatments. Such resistance is often closely associated with the activity of the enzyme γ-glutamyl transpeptidase (GGT), which acts to increase intracellular concentrations of glutathione and thereby block the apoptotic cascade in </w:t>
            </w:r>
            <w:r w:rsidR="00B1AF36">
              <w:rPr/>
              <w:t>tumor</w:t>
            </w:r>
            <w:r w:rsidR="00B1AF36">
              <w:rPr/>
              <w:t xml:space="preserve"> cells. Inhibiting GGT before chemotherapy would therefore reduce </w:t>
            </w:r>
            <w:r w:rsidR="00B1AF36">
              <w:rPr/>
              <w:t>tumor</w:t>
            </w:r>
            <w:r w:rsidR="00B1AF36">
              <w:rPr/>
              <w:t xml:space="preserve"> </w:t>
            </w:r>
            <w:r w:rsidR="00B1AF36">
              <w:rPr/>
              <w:t>cell resistance and increase treatment effectiveness.</w:t>
            </w:r>
          </w:p>
        </w:tc>
        <w:tc>
          <w:tcPr>
            <w:tcW w:w="3005" w:type="dxa"/>
            <w:tcMar/>
          </w:tcPr>
          <w:p w:rsidR="00B1AF36" w:rsidRDefault="00B1AF36" w14:noSpellErr="1" w14:paraId="71530166"/>
        </w:tc>
        <w:tc>
          <w:tcPr>
            <w:tcW w:w="3006" w:type="dxa"/>
            <w:tcMar/>
          </w:tcPr>
          <w:p w:rsidR="00B1AF36" w:rsidRDefault="00B1AF36" w14:noSpellErr="1" w14:paraId="0EED5963"/>
        </w:tc>
      </w:tr>
      <w:tr w:rsidR="00B1AF36" w:rsidTr="00B1AF36" w14:paraId="6EDEF939">
        <w:trPr>
          <w:trHeight w:val="300"/>
        </w:trPr>
        <w:tc>
          <w:tcPr>
            <w:tcW w:w="9016" w:type="dxa"/>
            <w:gridSpan w:val="3"/>
            <w:tcMar/>
          </w:tcPr>
          <w:p w:rsidR="00B1AF36" w:rsidP="00B1AF36" w:rsidRDefault="00B1AF36" w14:noSpellErr="1" w14:paraId="0D5B4F1D">
            <w:pPr>
              <w:rPr>
                <w:i w:val="1"/>
                <w:iCs w:val="1"/>
              </w:rPr>
            </w:pPr>
            <w:r w:rsidRPr="00B1AF36" w:rsidR="00B1AF36">
              <w:rPr>
                <w:i w:val="1"/>
                <w:iCs w:val="1"/>
              </w:rPr>
              <w:t>Comparison</w:t>
            </w:r>
          </w:p>
          <w:p w:rsidR="00B1AF36" w:rsidRDefault="00B1AF36" w14:noSpellErr="1" w14:paraId="7BFE0BA6" w14:textId="4A9EB54E"/>
        </w:tc>
      </w:tr>
    </w:tbl>
    <w:p w:rsidR="00B1AF36" w:rsidRDefault="00B1AF36" w14:paraId="00979274" w14:textId="3C6CCD2F"/>
    <w:sectPr w:rsidR="009F51F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21F82"/>
    <w:multiLevelType w:val="hybridMultilevel"/>
    <w:tmpl w:val="F1BC52E4"/>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num w:numId="1" w16cid:durableId="79144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1F4"/>
    <w:rsid w:val="00032A43"/>
    <w:rsid w:val="00450A56"/>
    <w:rsid w:val="00672197"/>
    <w:rsid w:val="0076160B"/>
    <w:rsid w:val="009F51F4"/>
    <w:rsid w:val="00B1AF36"/>
    <w:rsid w:val="00BC0F8E"/>
    <w:rsid w:val="00E301A2"/>
    <w:rsid w:val="57F3381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FBB1F"/>
  <w15:chartTrackingRefBased/>
  <w15:docId w15:val="{379CCB1D-5B3C-41C7-B649-9ED90D9C5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F51F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1F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1F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F51F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F51F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F51F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F51F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F51F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F51F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F51F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F51F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F51F4"/>
    <w:rPr>
      <w:rFonts w:eastAsiaTheme="majorEastAsia" w:cstheme="majorBidi"/>
      <w:color w:val="272727" w:themeColor="text1" w:themeTint="D8"/>
    </w:rPr>
  </w:style>
  <w:style w:type="paragraph" w:styleId="Title">
    <w:name w:val="Title"/>
    <w:basedOn w:val="Normal"/>
    <w:next w:val="Normal"/>
    <w:link w:val="TitleChar"/>
    <w:uiPriority w:val="10"/>
    <w:qFormat/>
    <w:rsid w:val="009F51F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F51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F51F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F5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1F4"/>
    <w:pPr>
      <w:spacing w:before="160"/>
      <w:jc w:val="center"/>
    </w:pPr>
    <w:rPr>
      <w:i/>
      <w:iCs/>
      <w:color w:val="404040" w:themeColor="text1" w:themeTint="BF"/>
    </w:rPr>
  </w:style>
  <w:style w:type="character" w:styleId="QuoteChar" w:customStyle="1">
    <w:name w:val="Quote Char"/>
    <w:basedOn w:val="DefaultParagraphFont"/>
    <w:link w:val="Quote"/>
    <w:uiPriority w:val="29"/>
    <w:rsid w:val="009F51F4"/>
    <w:rPr>
      <w:i/>
      <w:iCs/>
      <w:color w:val="404040" w:themeColor="text1" w:themeTint="BF"/>
    </w:rPr>
  </w:style>
  <w:style w:type="paragraph" w:styleId="ListParagraph">
    <w:name w:val="List Paragraph"/>
    <w:basedOn w:val="Normal"/>
    <w:uiPriority w:val="34"/>
    <w:qFormat/>
    <w:rsid w:val="009F51F4"/>
    <w:pPr>
      <w:ind w:left="720"/>
      <w:contextualSpacing/>
    </w:pPr>
  </w:style>
  <w:style w:type="character" w:styleId="IntenseEmphasis">
    <w:name w:val="Intense Emphasis"/>
    <w:basedOn w:val="DefaultParagraphFont"/>
    <w:uiPriority w:val="21"/>
    <w:qFormat/>
    <w:rsid w:val="009F51F4"/>
    <w:rPr>
      <w:i/>
      <w:iCs/>
      <w:color w:val="0F4761" w:themeColor="accent1" w:themeShade="BF"/>
    </w:rPr>
  </w:style>
  <w:style w:type="paragraph" w:styleId="IntenseQuote">
    <w:name w:val="Intense Quote"/>
    <w:basedOn w:val="Normal"/>
    <w:next w:val="Normal"/>
    <w:link w:val="IntenseQuoteChar"/>
    <w:uiPriority w:val="30"/>
    <w:qFormat/>
    <w:rsid w:val="009F51F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F51F4"/>
    <w:rPr>
      <w:i/>
      <w:iCs/>
      <w:color w:val="0F4761" w:themeColor="accent1" w:themeShade="BF"/>
    </w:rPr>
  </w:style>
  <w:style w:type="character" w:styleId="IntenseReference">
    <w:name w:val="Intense Reference"/>
    <w:basedOn w:val="DefaultParagraphFont"/>
    <w:uiPriority w:val="32"/>
    <w:qFormat/>
    <w:rsid w:val="009F51F4"/>
    <w:rPr>
      <w:b/>
      <w:bCs/>
      <w:smallCaps/>
      <w:color w:val="0F4761" w:themeColor="accent1" w:themeShade="BF"/>
      <w:spacing w:val="5"/>
    </w:rPr>
  </w:style>
  <w:style w:type="table" w:styleId="TableGrid">
    <w:name w:val="Table Grid"/>
    <w:basedOn w:val="TableNormal"/>
    <w:uiPriority w:val="39"/>
    <w:rsid w:val="009F51F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6E5358CD7C93439CBB81CF81D2AF24" ma:contentTypeVersion="3" ma:contentTypeDescription="Create a new document." ma:contentTypeScope="" ma:versionID="18c4eb732887406a9630856461595e4f">
  <xsd:schema xmlns:xsd="http://www.w3.org/2001/XMLSchema" xmlns:xs="http://www.w3.org/2001/XMLSchema" xmlns:p="http://schemas.microsoft.com/office/2006/metadata/properties" xmlns:ns2="67fa7a55-088b-4b32-b67b-54e1d5dc9580" targetNamespace="http://schemas.microsoft.com/office/2006/metadata/properties" ma:root="true" ma:fieldsID="4fc79c6bc990624e1dde352798962a28" ns2:_="">
    <xsd:import namespace="67fa7a55-088b-4b32-b67b-54e1d5dc958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fa7a55-088b-4b32-b67b-54e1d5dc9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EC820B-8A9A-4DCE-B220-21A746FDC74E}"/>
</file>

<file path=customXml/itemProps2.xml><?xml version="1.0" encoding="utf-8"?>
<ds:datastoreItem xmlns:ds="http://schemas.openxmlformats.org/officeDocument/2006/customXml" ds:itemID="{78F1CFC9-2040-49DB-A3FE-F3F31C0AA480}"/>
</file>

<file path=customXml/itemProps3.xml><?xml version="1.0" encoding="utf-8"?>
<ds:datastoreItem xmlns:ds="http://schemas.openxmlformats.org/officeDocument/2006/customXml" ds:itemID="{1D2C58B5-9FB2-42C6-9C20-4BA53DAAEAE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National University of Singapore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Yurni Said-Sirhan</dc:creator>
  <cp:keywords/>
  <dc:description/>
  <cp:lastModifiedBy>Yurni Said-Sirhan</cp:lastModifiedBy>
  <cp:revision>3</cp:revision>
  <dcterms:created xsi:type="dcterms:W3CDTF">2025-08-31T10:47:00Z</dcterms:created>
  <dcterms:modified xsi:type="dcterms:W3CDTF">2025-09-04T06:42:41Z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0x010100A86E5358CD7C93439CBB81CF81D2AF24</vt:lpwstr>
  </property>
</Properties>
</file>