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Project Development Phase</w:t>
      </w:r>
    </w:p>
    <w:p>
      <w:pPr>
        <w:jc w:val="center"/>
      </w:pPr>
      <w:r>
        <w:rPr>
          <w:b/>
          <w:sz w:val="22"/>
        </w:rPr>
        <w:t>Model Performance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5328"/>
      </w:tblGrid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Date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29 September 2026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Team ID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SWTID-2026-7644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Project Name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Script-Controlled ACL – Restrict Record Access Based on Field Value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Maximum Marks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10 Marks</w:t>
            </w:r>
          </w:p>
        </w:tc>
      </w:tr>
    </w:tbl>
    <w:p>
      <w:pPr>
        <w:spacing w:after="40"/>
      </w:pPr>
    </w:p>
    <w:p>
      <w:r>
        <w:rPr>
          <w:b/>
          <w:sz w:val="20"/>
        </w:rPr>
        <w:t>Model Performance Testing:</w:t>
      </w:r>
    </w:p>
    <w:p>
      <w:pPr>
        <w:spacing w:after="100"/>
      </w:pPr>
      <w:r>
        <w:t>Project team shall fill the following information in model performance testing template.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792"/>
          </w:tcPr>
          <w:p>
            <w:pPr>
              <w:jc w:val="left"/>
            </w:pPr>
            <w:r>
              <w:rPr>
                <w:rFonts w:ascii="Arial" w:hAnsi="Arial"/>
                <w:b/>
                <w:sz w:val="17"/>
              </w:rPr>
              <w:t>S.No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rFonts w:ascii="Arial" w:hAnsi="Arial"/>
                <w:b/>
                <w:sz w:val="17"/>
              </w:rPr>
              <w:t>Parameter</w:t>
            </w:r>
          </w:p>
        </w:tc>
        <w:tc>
          <w:tcPr>
            <w:tcW w:type="dxa" w:w="6264"/>
          </w:tcPr>
          <w:p>
            <w:pPr>
              <w:jc w:val="left"/>
            </w:pPr>
            <w:r>
              <w:rPr>
                <w:rFonts w:ascii="Arial" w:hAnsi="Arial"/>
                <w:b/>
                <w:sz w:val="17"/>
              </w:rPr>
              <w:t>Screenshot / Values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1.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ACL Configuration</w:t>
            </w:r>
          </w:p>
        </w:tc>
        <w:tc>
          <w:tcPr>
            <w:tcW w:type="dxa" w:w="62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Access Control rule configured for the Institution Details record; read access is controlled using the configured ACL condition/script.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2.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Field-Based Access Rule</w:t>
            </w:r>
          </w:p>
        </w:tc>
        <w:tc>
          <w:tcPr>
            <w:tcW w:type="dxa" w:w="62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Record access is evaluated using the Branch field value. Authorized users can access permitted records; restricted records are denied.</w:t>
            </w:r>
          </w:p>
          <w:p>
            <w:pPr>
              <w:spacing w:before="40" w:after="20"/>
              <w:jc w:val="center"/>
            </w:pPr>
            <w:r>
              <w:rPr>
                <w:rFonts w:ascii="Arial" w:hAnsi="Arial"/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920240" cy="42672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l_screenshot_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426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3.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Script Evaluation</w:t>
            </w:r>
          </w:p>
        </w:tc>
        <w:tc>
          <w:tcPr>
            <w:tcW w:type="dxa" w:w="62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Script-controlled condition evaluates the record field at request time and returns the appropriate allow/deny decision.</w:t>
            </w:r>
          </w:p>
          <w:p>
            <w:pPr>
              <w:spacing w:before="40" w:after="20"/>
              <w:jc w:val="center"/>
            </w:pPr>
            <w:r>
              <w:rPr>
                <w:rFonts w:ascii="Arial" w:hAnsi="Arial"/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920240" cy="102235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l_screenshot_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022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4.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Unauthorized Access Check</w:t>
            </w:r>
          </w:p>
        </w:tc>
        <w:tc>
          <w:tcPr>
            <w:tcW w:type="dxa" w:w="62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When the user does not satisfy the field-based condition, the protected record is not exposed.</w:t>
            </w:r>
          </w:p>
          <w:p>
            <w:pPr>
              <w:spacing w:before="40" w:after="20"/>
              <w:jc w:val="center"/>
            </w:pPr>
            <w:r>
              <w:rPr>
                <w:rFonts w:ascii="Arial" w:hAnsi="Arial"/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920240" cy="42672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l_screenshot_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426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5.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Authorized Record Access</w:t>
            </w:r>
          </w:p>
        </w:tc>
        <w:tc>
          <w:tcPr>
            <w:tcW w:type="dxa" w:w="62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When the configured field value satisfies the rule, the requested record is available to the authorized user.</w:t>
            </w:r>
          </w:p>
          <w:p>
            <w:pPr>
              <w:spacing w:before="40" w:after="20"/>
              <w:jc w:val="center"/>
            </w:pPr>
            <w:r>
              <w:rPr>
                <w:rFonts w:ascii="Arial" w:hAnsi="Arial"/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920240" cy="100101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l_screenshot_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0010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6.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ACL Performance / Validation</w:t>
            </w:r>
          </w:p>
        </w:tc>
        <w:tc>
          <w:tcPr>
            <w:tcW w:type="dxa" w:w="62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ACL behavior is validated using multiple field values and user contexts; access decision is applied consistently.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